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35" w:rsidRDefault="00615535" w:rsidP="00615535">
      <w:pPr>
        <w:jc w:val="center"/>
        <w:rPr>
          <w:rFonts w:ascii="Segoe UI" w:hAnsi="Segoe UI" w:cs="Segoe UI"/>
          <w:b/>
          <w:sz w:val="21"/>
          <w:szCs w:val="21"/>
        </w:rPr>
      </w:pPr>
      <w:r>
        <w:rPr>
          <w:rFonts w:ascii="Segoe UI" w:hAnsi="Segoe UI" w:cs="Segoe UI"/>
          <w:b/>
          <w:sz w:val="21"/>
          <w:szCs w:val="21"/>
        </w:rPr>
        <w:t xml:space="preserve">Terms of Reference for the Remuneration </w:t>
      </w:r>
      <w:r w:rsidRPr="00B86D16">
        <w:rPr>
          <w:rFonts w:ascii="Segoe UI" w:hAnsi="Segoe UI" w:cs="Segoe UI"/>
          <w:b/>
          <w:sz w:val="21"/>
          <w:szCs w:val="21"/>
        </w:rPr>
        <w:t xml:space="preserve">Committee </w:t>
      </w:r>
      <w:r>
        <w:rPr>
          <w:rFonts w:ascii="Segoe UI" w:hAnsi="Segoe UI" w:cs="Segoe UI"/>
          <w:b/>
          <w:sz w:val="21"/>
          <w:szCs w:val="21"/>
        </w:rPr>
        <w:t>of Victrex plc</w:t>
      </w:r>
    </w:p>
    <w:p w:rsidR="00615535" w:rsidRPr="00D82CB7" w:rsidRDefault="00615535" w:rsidP="00615535">
      <w:pPr>
        <w:rPr>
          <w:rFonts w:ascii="Segoe UI" w:hAnsi="Segoe UI" w:cs="Segoe UI"/>
          <w:b/>
          <w:sz w:val="21"/>
          <w:szCs w:val="21"/>
        </w:rPr>
      </w:pPr>
      <w:r w:rsidRPr="00D82CB7">
        <w:rPr>
          <w:rFonts w:ascii="Segoe UI" w:eastAsia="Times New Roman" w:hAnsi="Segoe UI" w:cs="Segoe UI"/>
          <w:sz w:val="21"/>
          <w:szCs w:val="21"/>
          <w:lang w:eastAsia="zh-CN"/>
        </w:rPr>
        <w:t>Approved and adopted by the Board of Directors of Victrex plc (</w:t>
      </w:r>
      <w:r w:rsidRPr="00D82CB7">
        <w:rPr>
          <w:rFonts w:ascii="Segoe UI" w:eastAsia="Times New Roman" w:hAnsi="Segoe UI" w:cs="Segoe UI"/>
          <w:b/>
          <w:sz w:val="21"/>
          <w:szCs w:val="21"/>
          <w:lang w:eastAsia="zh-CN"/>
        </w:rPr>
        <w:t>Company</w:t>
      </w:r>
      <w:r w:rsidRPr="00D82CB7">
        <w:rPr>
          <w:rFonts w:ascii="Segoe UI" w:eastAsia="Times New Roman" w:hAnsi="Segoe UI" w:cs="Segoe UI"/>
          <w:sz w:val="21"/>
          <w:szCs w:val="21"/>
          <w:lang w:eastAsia="zh-CN"/>
        </w:rPr>
        <w:t>) to take effect from 1 October 2019.</w:t>
      </w:r>
    </w:p>
    <w:p w:rsidR="00615535" w:rsidRPr="00AA3BA5" w:rsidRDefault="00615535" w:rsidP="00615535">
      <w:pPr>
        <w:pStyle w:val="ListParagraph"/>
        <w:numPr>
          <w:ilvl w:val="0"/>
          <w:numId w:val="6"/>
        </w:numPr>
        <w:ind w:left="567" w:hanging="567"/>
        <w:rPr>
          <w:rFonts w:ascii="Segoe UI" w:eastAsia="Times New Roman" w:hAnsi="Segoe UI" w:cs="Segoe UI"/>
          <w:b/>
          <w:sz w:val="21"/>
          <w:szCs w:val="21"/>
          <w:lang w:eastAsia="zh-CN"/>
        </w:rPr>
      </w:pPr>
      <w:r w:rsidRPr="00AA3BA5">
        <w:rPr>
          <w:rFonts w:ascii="Segoe UI" w:eastAsia="Times New Roman" w:hAnsi="Segoe UI" w:cs="Segoe UI"/>
          <w:b/>
          <w:sz w:val="21"/>
          <w:szCs w:val="21"/>
          <w:lang w:eastAsia="zh-CN"/>
        </w:rPr>
        <w:t>CONSTITUTION</w:t>
      </w:r>
    </w:p>
    <w:p w:rsidR="00615535" w:rsidRPr="00085CA6" w:rsidRDefault="00615535" w:rsidP="00615535">
      <w:pPr>
        <w:pStyle w:val="ListParagraph"/>
        <w:numPr>
          <w:ilvl w:val="1"/>
          <w:numId w:val="6"/>
        </w:numPr>
        <w:ind w:left="567" w:hanging="567"/>
        <w:jc w:val="both"/>
        <w:rPr>
          <w:rFonts w:ascii="Segoe UI" w:hAnsi="Segoe UI" w:cs="Segoe UI"/>
          <w:sz w:val="21"/>
          <w:szCs w:val="21"/>
        </w:rPr>
      </w:pPr>
      <w:r w:rsidRPr="00085CA6">
        <w:rPr>
          <w:rFonts w:ascii="Segoe UI" w:hAnsi="Segoe UI" w:cs="Segoe UI"/>
          <w:sz w:val="21"/>
          <w:szCs w:val="21"/>
        </w:rPr>
        <w:t xml:space="preserve">The </w:t>
      </w:r>
      <w:r>
        <w:rPr>
          <w:rFonts w:ascii="Segoe UI" w:hAnsi="Segoe UI" w:cs="Segoe UI"/>
          <w:sz w:val="21"/>
          <w:szCs w:val="21"/>
        </w:rPr>
        <w:t xml:space="preserve">Remuneration </w:t>
      </w:r>
      <w:r w:rsidRPr="00085CA6">
        <w:rPr>
          <w:rFonts w:ascii="Segoe UI" w:hAnsi="Segoe UI" w:cs="Segoe UI"/>
          <w:sz w:val="21"/>
          <w:szCs w:val="21"/>
        </w:rPr>
        <w:t>Committee (</w:t>
      </w:r>
      <w:r w:rsidRPr="00085CA6">
        <w:rPr>
          <w:rFonts w:ascii="Segoe UI" w:hAnsi="Segoe UI" w:cs="Segoe UI"/>
          <w:b/>
          <w:sz w:val="21"/>
          <w:szCs w:val="21"/>
        </w:rPr>
        <w:t>Committee</w:t>
      </w:r>
      <w:r w:rsidRPr="00085CA6">
        <w:rPr>
          <w:rFonts w:ascii="Segoe UI" w:hAnsi="Segoe UI" w:cs="Segoe UI"/>
          <w:sz w:val="21"/>
          <w:szCs w:val="21"/>
        </w:rPr>
        <w:t>) is a committee of the board of dir</w:t>
      </w:r>
      <w:r>
        <w:rPr>
          <w:rFonts w:ascii="Segoe UI" w:hAnsi="Segoe UI" w:cs="Segoe UI"/>
          <w:sz w:val="21"/>
          <w:szCs w:val="21"/>
        </w:rPr>
        <w:t>ectors (</w:t>
      </w:r>
      <w:r w:rsidRPr="00085CA6">
        <w:rPr>
          <w:rFonts w:ascii="Segoe UI" w:hAnsi="Segoe UI" w:cs="Segoe UI"/>
          <w:b/>
          <w:sz w:val="21"/>
          <w:szCs w:val="21"/>
        </w:rPr>
        <w:t>board</w:t>
      </w:r>
      <w:r>
        <w:rPr>
          <w:rFonts w:ascii="Segoe UI" w:hAnsi="Segoe UI" w:cs="Segoe UI"/>
          <w:sz w:val="21"/>
          <w:szCs w:val="21"/>
        </w:rPr>
        <w:t>) of the Company.</w:t>
      </w:r>
    </w:p>
    <w:p w:rsidR="00615535" w:rsidRDefault="00615535" w:rsidP="00615535">
      <w:pPr>
        <w:pStyle w:val="ListParagraph"/>
        <w:numPr>
          <w:ilvl w:val="1"/>
          <w:numId w:val="6"/>
        </w:numPr>
        <w:ind w:left="567" w:hanging="567"/>
        <w:jc w:val="both"/>
        <w:rPr>
          <w:rFonts w:ascii="Segoe UI" w:hAnsi="Segoe UI" w:cs="Segoe UI"/>
          <w:sz w:val="21"/>
          <w:szCs w:val="21"/>
        </w:rPr>
      </w:pPr>
      <w:r w:rsidRPr="00085CA6">
        <w:rPr>
          <w:rFonts w:ascii="Segoe UI" w:hAnsi="Segoe UI" w:cs="Segoe UI"/>
          <w:sz w:val="21"/>
          <w:szCs w:val="21"/>
        </w:rPr>
        <w:t>The Committee has the delegated authority of the board in respect of the functions and powers set out in these Terms of Reference.</w:t>
      </w:r>
    </w:p>
    <w:p w:rsidR="00615535" w:rsidRDefault="00615535" w:rsidP="00615535">
      <w:pPr>
        <w:pStyle w:val="ListParagraph"/>
        <w:numPr>
          <w:ilvl w:val="1"/>
          <w:numId w:val="6"/>
        </w:numPr>
        <w:ind w:left="567" w:hanging="567"/>
        <w:jc w:val="both"/>
        <w:rPr>
          <w:rFonts w:ascii="Segoe UI" w:hAnsi="Segoe UI" w:cs="Segoe UI"/>
          <w:sz w:val="21"/>
          <w:szCs w:val="21"/>
        </w:rPr>
      </w:pPr>
      <w:r w:rsidRPr="00085CA6">
        <w:rPr>
          <w:rFonts w:ascii="Segoe UI" w:hAnsi="Segoe UI" w:cs="Segoe UI"/>
          <w:sz w:val="21"/>
          <w:szCs w:val="21"/>
        </w:rPr>
        <w:t>The Terms of Reference of All Board Committees applies unless stated otherwise.</w:t>
      </w:r>
    </w:p>
    <w:p w:rsidR="00615535" w:rsidRDefault="00615535" w:rsidP="00615535">
      <w:pPr>
        <w:pStyle w:val="ListParagraph"/>
        <w:ind w:left="567"/>
        <w:jc w:val="both"/>
        <w:rPr>
          <w:rFonts w:ascii="Segoe UI" w:hAnsi="Segoe UI" w:cs="Segoe UI"/>
          <w:sz w:val="21"/>
          <w:szCs w:val="21"/>
        </w:rPr>
      </w:pPr>
    </w:p>
    <w:p w:rsidR="00615535" w:rsidRPr="00AA3BA5" w:rsidRDefault="00615535" w:rsidP="00615535">
      <w:pPr>
        <w:pStyle w:val="ListParagraph"/>
        <w:numPr>
          <w:ilvl w:val="0"/>
          <w:numId w:val="6"/>
        </w:numPr>
        <w:ind w:left="567" w:hanging="567"/>
        <w:jc w:val="both"/>
        <w:rPr>
          <w:rFonts w:ascii="Segoe UI" w:hAnsi="Segoe UI" w:cs="Segoe UI"/>
          <w:b/>
          <w:sz w:val="21"/>
          <w:szCs w:val="21"/>
        </w:rPr>
      </w:pPr>
      <w:r w:rsidRPr="00AA3BA5">
        <w:rPr>
          <w:rFonts w:ascii="Segoe UI" w:eastAsia="Times New Roman" w:hAnsi="Segoe UI" w:cs="Segoe UI"/>
          <w:b/>
          <w:sz w:val="21"/>
          <w:szCs w:val="21"/>
          <w:lang w:eastAsia="zh-CN"/>
        </w:rPr>
        <w:t>ROLE</w:t>
      </w:r>
    </w:p>
    <w:p w:rsidR="00615535" w:rsidRPr="00AA3BA5" w:rsidRDefault="00615535" w:rsidP="00615535">
      <w:pPr>
        <w:pStyle w:val="ListParagraph"/>
        <w:numPr>
          <w:ilvl w:val="1"/>
          <w:numId w:val="6"/>
        </w:numPr>
        <w:ind w:left="567" w:hanging="567"/>
        <w:jc w:val="both"/>
        <w:rPr>
          <w:rFonts w:ascii="Segoe UI" w:hAnsi="Segoe UI" w:cs="Segoe UI"/>
          <w:sz w:val="21"/>
          <w:szCs w:val="21"/>
        </w:rPr>
      </w:pPr>
      <w:r w:rsidRPr="00AA3BA5">
        <w:rPr>
          <w:rFonts w:ascii="Segoe UI" w:eastAsia="Times New Roman" w:hAnsi="Segoe UI" w:cs="Segoe UI"/>
          <w:sz w:val="21"/>
          <w:szCs w:val="21"/>
          <w:lang w:eastAsia="zh-CN"/>
        </w:rPr>
        <w:t xml:space="preserve">The role of the Committee is to assist the board to fulfil its responsibility to shareholders to ensure that: </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remuneration policy and practices of the Company are designed to support strategy and promote long-term sustainable success, reward fairly and responsibly, with a clear link to corporate and individual performance, having regard to statutory and regulatory requirements; and</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 xml:space="preserve">executive remuneration is aligned to company purpose and values and linked to delivery of the company's long-term strategy. </w:t>
      </w:r>
    </w:p>
    <w:p w:rsidR="00615535" w:rsidRPr="00AA3BA5" w:rsidRDefault="00615535" w:rsidP="00615535">
      <w:pPr>
        <w:pStyle w:val="ListParagraph"/>
        <w:numPr>
          <w:ilvl w:val="1"/>
          <w:numId w:val="6"/>
        </w:numPr>
        <w:ind w:left="567" w:hanging="567"/>
        <w:jc w:val="both"/>
        <w:rPr>
          <w:rFonts w:ascii="Segoe UI" w:hAnsi="Segoe UI" w:cs="Segoe UI"/>
          <w:sz w:val="21"/>
          <w:szCs w:val="21"/>
        </w:rPr>
      </w:pPr>
      <w:r w:rsidRPr="00AA3BA5">
        <w:rPr>
          <w:rFonts w:ascii="Segoe UI" w:eastAsia="Times New Roman" w:hAnsi="Segoe UI" w:cs="Segoe UI"/>
          <w:sz w:val="21"/>
          <w:szCs w:val="21"/>
          <w:lang w:eastAsia="zh-CN"/>
        </w:rPr>
        <w:t>Subject to paragraph 2.3</w:t>
      </w:r>
      <w:proofErr w:type="gramStart"/>
      <w:r w:rsidRPr="00AA3BA5">
        <w:rPr>
          <w:rFonts w:ascii="Segoe UI" w:eastAsia="Times New Roman" w:hAnsi="Segoe UI" w:cs="Segoe UI"/>
          <w:sz w:val="21"/>
          <w:szCs w:val="21"/>
          <w:lang w:eastAsia="zh-CN"/>
        </w:rPr>
        <w:t>, in particular, the</w:t>
      </w:r>
      <w:proofErr w:type="gramEnd"/>
      <w:r w:rsidRPr="00AA3BA5">
        <w:rPr>
          <w:rFonts w:ascii="Segoe UI" w:eastAsia="Times New Roman" w:hAnsi="Segoe UI" w:cs="Segoe UI"/>
          <w:sz w:val="21"/>
          <w:szCs w:val="21"/>
          <w:lang w:eastAsia="zh-CN"/>
        </w:rPr>
        <w:t xml:space="preserve"> Committee shall consider:</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remuneration policies, including base pay, long-term and short-term incentives, shareholding requirements and use of the Committee's discretion;</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remuneration practice and its cost to the Company;</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recruitment, service contracts and severance policies;</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 xml:space="preserve">pension and superannuation arrangements and other benefits; </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 xml:space="preserve">the engagement and independence of external remuneration advisers; and </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 xml:space="preserve">a review of workforce remuneration and related policies and the alignment of incentives and rewards with culture. </w:t>
      </w:r>
    </w:p>
    <w:p w:rsidR="00615535" w:rsidRPr="00AA3BA5" w:rsidRDefault="00615535" w:rsidP="00615535">
      <w:pPr>
        <w:pStyle w:val="ListParagraph"/>
        <w:numPr>
          <w:ilvl w:val="1"/>
          <w:numId w:val="6"/>
        </w:numPr>
        <w:ind w:left="567" w:hanging="567"/>
        <w:jc w:val="both"/>
        <w:rPr>
          <w:rFonts w:ascii="Segoe UI" w:hAnsi="Segoe UI" w:cs="Segoe UI"/>
          <w:sz w:val="21"/>
          <w:szCs w:val="21"/>
        </w:rPr>
      </w:pPr>
      <w:r w:rsidRPr="00AA3BA5">
        <w:rPr>
          <w:rFonts w:ascii="Segoe UI" w:eastAsia="Times New Roman" w:hAnsi="Segoe UI" w:cs="Segoe UI"/>
          <w:sz w:val="21"/>
          <w:szCs w:val="21"/>
          <w:lang w:eastAsia="zh-CN"/>
        </w:rPr>
        <w:t>The remuneration of the senior independent director and non-executive directors of the board shall be a matter for the chair and the executive directors to be decided at a meeting of the board to be determined within the limits set in the Company's articles of association. No director shall be involved in any decisions as to their own remuneration.</w:t>
      </w:r>
    </w:p>
    <w:p w:rsidR="00615535" w:rsidRPr="00AA3BA5" w:rsidRDefault="00615535" w:rsidP="00615535">
      <w:pPr>
        <w:pStyle w:val="ListParagraph"/>
        <w:ind w:left="567"/>
        <w:jc w:val="both"/>
        <w:rPr>
          <w:rFonts w:ascii="Segoe UI" w:hAnsi="Segoe UI" w:cs="Segoe UI"/>
          <w:sz w:val="21"/>
          <w:szCs w:val="21"/>
        </w:rPr>
      </w:pPr>
    </w:p>
    <w:p w:rsidR="00615535" w:rsidRPr="00AA3BA5" w:rsidRDefault="00615535" w:rsidP="00615535">
      <w:pPr>
        <w:pStyle w:val="ListParagraph"/>
        <w:numPr>
          <w:ilvl w:val="0"/>
          <w:numId w:val="6"/>
        </w:numPr>
        <w:ind w:left="567" w:hanging="567"/>
        <w:jc w:val="both"/>
        <w:rPr>
          <w:rFonts w:ascii="Segoe UI" w:hAnsi="Segoe UI" w:cs="Segoe UI"/>
          <w:b/>
          <w:sz w:val="21"/>
          <w:szCs w:val="21"/>
        </w:rPr>
      </w:pPr>
      <w:r w:rsidRPr="00AA3BA5">
        <w:rPr>
          <w:rFonts w:ascii="Segoe UI" w:eastAsia="Times New Roman" w:hAnsi="Segoe UI" w:cs="Segoe UI"/>
          <w:b/>
          <w:sz w:val="21"/>
          <w:szCs w:val="21"/>
          <w:lang w:eastAsia="zh-CN"/>
        </w:rPr>
        <w:t>DUTIES &amp; TERMS OF REFERENCE</w:t>
      </w:r>
    </w:p>
    <w:p w:rsidR="00615535" w:rsidRPr="00AA3BA5" w:rsidRDefault="00615535" w:rsidP="00615535">
      <w:pPr>
        <w:jc w:val="both"/>
        <w:rPr>
          <w:rFonts w:ascii="Segoe UI" w:hAnsi="Segoe UI" w:cs="Segoe UI"/>
          <w:sz w:val="21"/>
          <w:szCs w:val="21"/>
        </w:rPr>
      </w:pPr>
      <w:r w:rsidRPr="00AA3BA5">
        <w:rPr>
          <w:rFonts w:ascii="Segoe UI" w:eastAsia="Times New Roman" w:hAnsi="Segoe UI" w:cs="Segoe UI"/>
          <w:sz w:val="21"/>
          <w:szCs w:val="21"/>
          <w:lang w:eastAsia="zh-CN"/>
        </w:rPr>
        <w:t>The Committee shall carry out the following duties for the Company and its subsidiaries (</w:t>
      </w:r>
      <w:r w:rsidRPr="00AA3BA5">
        <w:rPr>
          <w:rFonts w:ascii="Segoe UI" w:eastAsia="Times New Roman" w:hAnsi="Segoe UI" w:cs="Segoe UI"/>
          <w:b/>
          <w:sz w:val="21"/>
          <w:szCs w:val="21"/>
          <w:lang w:eastAsia="zh-CN"/>
        </w:rPr>
        <w:t>Group</w:t>
      </w:r>
      <w:r w:rsidRPr="00AA3BA5">
        <w:rPr>
          <w:rFonts w:ascii="Segoe UI" w:eastAsia="Times New Roman" w:hAnsi="Segoe UI" w:cs="Segoe UI"/>
          <w:sz w:val="21"/>
          <w:szCs w:val="21"/>
          <w:lang w:eastAsia="zh-CN"/>
        </w:rPr>
        <w:t>) and advise the board appropriately:</w:t>
      </w:r>
    </w:p>
    <w:p w:rsidR="00615535" w:rsidRPr="00AC0796" w:rsidRDefault="00615535" w:rsidP="00615535">
      <w:pPr>
        <w:pStyle w:val="ListParagraph"/>
        <w:numPr>
          <w:ilvl w:val="1"/>
          <w:numId w:val="6"/>
        </w:numPr>
        <w:ind w:left="567" w:hanging="567"/>
        <w:jc w:val="both"/>
        <w:rPr>
          <w:rFonts w:ascii="Segoe UI" w:hAnsi="Segoe UI" w:cs="Segoe UI"/>
          <w:b/>
          <w:sz w:val="21"/>
          <w:szCs w:val="21"/>
        </w:rPr>
      </w:pPr>
      <w:r w:rsidRPr="00AC0796">
        <w:rPr>
          <w:rFonts w:ascii="Segoe UI" w:eastAsia="Times New Roman" w:hAnsi="Segoe UI" w:cs="Segoe UI"/>
          <w:b/>
          <w:sz w:val="21"/>
          <w:szCs w:val="21"/>
          <w:lang w:eastAsia="zh-CN"/>
        </w:rPr>
        <w:t>Remuneration policy and practices</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determine and agree with the board the policy for the remuneration and benefits, including pension rights and compensation payments, of the executive directors and set the remuneration for:</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the chair of the Company;</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lastRenderedPageBreak/>
        <w:t xml:space="preserve">executive directors; </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 xml:space="preserve">the </w:t>
      </w:r>
      <w:r>
        <w:rPr>
          <w:rFonts w:ascii="Segoe UI" w:eastAsia="Times New Roman" w:hAnsi="Segoe UI" w:cs="Segoe UI"/>
          <w:sz w:val="21"/>
          <w:szCs w:val="21"/>
          <w:lang w:eastAsia="zh-CN"/>
        </w:rPr>
        <w:t>C</w:t>
      </w:r>
      <w:r w:rsidRPr="00AA3BA5">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A3BA5">
        <w:rPr>
          <w:rFonts w:ascii="Segoe UI" w:eastAsia="Times New Roman" w:hAnsi="Segoe UI" w:cs="Segoe UI"/>
          <w:sz w:val="21"/>
          <w:szCs w:val="21"/>
          <w:lang w:eastAsia="zh-CN"/>
        </w:rPr>
        <w:t>ecretary; and</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senior management;</w:t>
      </w:r>
    </w:p>
    <w:p w:rsidR="00615535" w:rsidRPr="00AA3BA5" w:rsidRDefault="00615535" w:rsidP="00615535">
      <w:pPr>
        <w:pStyle w:val="ListParagraph"/>
        <w:numPr>
          <w:ilvl w:val="2"/>
          <w:numId w:val="6"/>
        </w:numPr>
        <w:ind w:left="1276" w:hanging="709"/>
        <w:jc w:val="both"/>
        <w:rPr>
          <w:rFonts w:ascii="Segoe UI" w:hAnsi="Segoe UI" w:cs="Segoe UI"/>
          <w:sz w:val="21"/>
          <w:szCs w:val="21"/>
        </w:rPr>
      </w:pPr>
      <w:r w:rsidRPr="00AA3BA5">
        <w:rPr>
          <w:rFonts w:ascii="Segoe UI" w:eastAsia="Times New Roman" w:hAnsi="Segoe UI" w:cs="Segoe UI"/>
          <w:sz w:val="21"/>
          <w:szCs w:val="21"/>
          <w:lang w:eastAsia="zh-CN"/>
        </w:rPr>
        <w:t>subject to paragraph 3.5</w:t>
      </w:r>
      <w:r>
        <w:rPr>
          <w:rFonts w:ascii="Segoe UI" w:eastAsia="Times New Roman" w:hAnsi="Segoe UI" w:cs="Segoe UI"/>
          <w:sz w:val="21"/>
          <w:szCs w:val="21"/>
          <w:lang w:eastAsia="zh-CN"/>
        </w:rPr>
        <w:t>.1</w:t>
      </w:r>
      <w:r w:rsidRPr="00AA3BA5">
        <w:rPr>
          <w:rFonts w:ascii="Segoe UI" w:eastAsia="Times New Roman" w:hAnsi="Segoe UI" w:cs="Segoe UI"/>
          <w:sz w:val="21"/>
          <w:szCs w:val="21"/>
          <w:lang w:eastAsia="zh-CN"/>
        </w:rPr>
        <w:t>, in determining th</w:t>
      </w:r>
      <w:r>
        <w:rPr>
          <w:rFonts w:ascii="Segoe UI" w:eastAsia="Times New Roman" w:hAnsi="Segoe UI" w:cs="Segoe UI"/>
          <w:sz w:val="21"/>
          <w:szCs w:val="21"/>
          <w:lang w:eastAsia="zh-CN"/>
        </w:rPr>
        <w:t>e remuneration policy, consider</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all relevant legal and regulatory requirements, the provisions and recommendations of the UK Corporate Governance Code (July 2018) (</w:t>
      </w:r>
      <w:r w:rsidRPr="00AA3BA5">
        <w:rPr>
          <w:rFonts w:ascii="Segoe UI" w:eastAsia="Times New Roman" w:hAnsi="Segoe UI" w:cs="Segoe UI"/>
          <w:b/>
          <w:sz w:val="21"/>
          <w:szCs w:val="21"/>
          <w:lang w:eastAsia="zh-CN"/>
        </w:rPr>
        <w:t>Code</w:t>
      </w:r>
      <w:r w:rsidRPr="00AA3BA5">
        <w:rPr>
          <w:rFonts w:ascii="Segoe UI" w:eastAsia="Times New Roman" w:hAnsi="Segoe UI" w:cs="Segoe UI"/>
          <w:sz w:val="21"/>
          <w:szCs w:val="21"/>
          <w:lang w:eastAsia="zh-CN"/>
        </w:rPr>
        <w:t>) and associated guidance;</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 xml:space="preserve">the need to promote the long-term sustainable success of the Company and the alignment to the Company purpose and values, without paying more than is necessary, having regard to the views of shareholders and other stakeholders, and ensuring that executive directors, the </w:t>
      </w:r>
      <w:r>
        <w:rPr>
          <w:rFonts w:ascii="Segoe UI" w:eastAsia="Times New Roman" w:hAnsi="Segoe UI" w:cs="Segoe UI"/>
          <w:sz w:val="21"/>
          <w:szCs w:val="21"/>
          <w:lang w:eastAsia="zh-CN"/>
        </w:rPr>
        <w:t>C</w:t>
      </w:r>
      <w:r w:rsidRPr="00AA3BA5">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A3BA5">
        <w:rPr>
          <w:rFonts w:ascii="Segoe UI" w:eastAsia="Times New Roman" w:hAnsi="Segoe UI" w:cs="Segoe UI"/>
          <w:sz w:val="21"/>
          <w:szCs w:val="21"/>
          <w:lang w:eastAsia="zh-CN"/>
        </w:rPr>
        <w:t>ecretary and senior management are rewarded in a fair and responsible manner, provided with appropriate incentives to encourage enhanced performance and are rewarded for their individual contributions;</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 xml:space="preserve">the strategy of the Group and how the policy reflects and supports the long-term strategy; </w:t>
      </w:r>
    </w:p>
    <w:p w:rsidR="00615535" w:rsidRPr="00AA3BA5"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the Company’s risk appetite and risk management strategy ensuring that the remuneration policy is aligned to the Company’s risk policies and systems and long-term strategic goals; and</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A3BA5">
        <w:rPr>
          <w:rFonts w:ascii="Segoe UI" w:eastAsia="Times New Roman" w:hAnsi="Segoe UI" w:cs="Segoe UI"/>
          <w:sz w:val="21"/>
          <w:szCs w:val="21"/>
          <w:lang w:eastAsia="zh-CN"/>
        </w:rPr>
        <w:t>any shareholding requirements, including vesting and holding periods, and any post-employment shareholding requirements for e</w:t>
      </w:r>
      <w:r>
        <w:rPr>
          <w:rFonts w:ascii="Segoe UI" w:eastAsia="Times New Roman" w:hAnsi="Segoe UI" w:cs="Segoe UI"/>
          <w:sz w:val="21"/>
          <w:szCs w:val="21"/>
          <w:lang w:eastAsia="zh-CN"/>
        </w:rPr>
        <w:t xml:space="preserve">xecutive directors </w:t>
      </w:r>
      <w:r w:rsidRPr="00AA3BA5">
        <w:rPr>
          <w:rFonts w:ascii="Segoe UI" w:eastAsia="Times New Roman" w:hAnsi="Segoe UI" w:cs="Segoe UI"/>
          <w:sz w:val="21"/>
          <w:szCs w:val="21"/>
          <w:lang w:eastAsia="zh-CN"/>
        </w:rPr>
        <w:t xml:space="preserve">that encompass both unvested and vested shares; </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when determining executive director remuneration policy and practices, address the following factors set out in Provision 40 of the Code: </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clarity;</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simplicity;</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 xml:space="preserve">risk; </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predictability;</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Pr>
          <w:rFonts w:ascii="Segoe UI" w:eastAsia="Times New Roman" w:hAnsi="Segoe UI" w:cs="Segoe UI"/>
          <w:sz w:val="21"/>
          <w:szCs w:val="21"/>
          <w:lang w:eastAsia="zh-CN"/>
        </w:rPr>
        <w:t>proportionality; and</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alignment to culture;</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when determining remuneration schemes and the remuneration policy, consider the use of discretion by the Committee to override formulaic outcomes;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review </w:t>
      </w:r>
      <w:r>
        <w:rPr>
          <w:rFonts w:ascii="Segoe UI" w:eastAsia="Times New Roman" w:hAnsi="Segoe UI" w:cs="Segoe UI"/>
          <w:sz w:val="21"/>
          <w:szCs w:val="21"/>
          <w:lang w:eastAsia="zh-CN"/>
        </w:rPr>
        <w:t>at least annually</w:t>
      </w:r>
      <w:r w:rsidRPr="00AC0796">
        <w:rPr>
          <w:rFonts w:ascii="Segoe UI" w:eastAsia="Times New Roman" w:hAnsi="Segoe UI" w:cs="Segoe UI"/>
          <w:sz w:val="21"/>
          <w:szCs w:val="21"/>
          <w:lang w:eastAsia="zh-CN"/>
        </w:rPr>
        <w:t xml:space="preserve"> the on-going appropriateness and relevance of the remuneration policy and consult with significant shareholders, as appropriate, on the policy or any other aspects of remuneration;</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within the terms of the agreed remuneration policy, determine the total remuneration package for the chair of the board and each element of the total individual remuneration package for each executive director, the </w:t>
      </w:r>
      <w:r>
        <w:rPr>
          <w:rFonts w:ascii="Segoe UI" w:eastAsia="Times New Roman" w:hAnsi="Segoe UI" w:cs="Segoe UI"/>
          <w:sz w:val="21"/>
          <w:szCs w:val="21"/>
          <w:lang w:eastAsia="zh-CN"/>
        </w:rPr>
        <w:t>C</w:t>
      </w:r>
      <w:r w:rsidRPr="00AC0796">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C0796">
        <w:rPr>
          <w:rFonts w:ascii="Segoe UI" w:eastAsia="Times New Roman" w:hAnsi="Segoe UI" w:cs="Segoe UI"/>
          <w:sz w:val="21"/>
          <w:szCs w:val="21"/>
          <w:lang w:eastAsia="zh-CN"/>
        </w:rPr>
        <w:t>ecretary and senior management including (to the extent applicable):</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base salary;</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profit sharing and specific incentive remuneration schemes or arrangements;</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participation in share option schemes and share ownership plans;</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lastRenderedPageBreak/>
        <w:t>pension arrangements, including the level of contributions by the Company; and</w:t>
      </w:r>
    </w:p>
    <w:p w:rsidR="00615535" w:rsidRPr="00AC0796" w:rsidRDefault="00615535" w:rsidP="00615535">
      <w:pPr>
        <w:pStyle w:val="ListParagraph"/>
        <w:numPr>
          <w:ilvl w:val="3"/>
          <w:numId w:val="6"/>
        </w:numPr>
        <w:ind w:left="2127" w:hanging="851"/>
        <w:jc w:val="both"/>
        <w:rPr>
          <w:rFonts w:ascii="Segoe UI" w:hAnsi="Segoe UI" w:cs="Segoe UI"/>
          <w:sz w:val="21"/>
          <w:szCs w:val="21"/>
        </w:rPr>
      </w:pPr>
      <w:r w:rsidRPr="00AC0796">
        <w:rPr>
          <w:rFonts w:ascii="Segoe UI" w:eastAsia="Times New Roman" w:hAnsi="Segoe UI" w:cs="Segoe UI"/>
          <w:sz w:val="21"/>
          <w:szCs w:val="21"/>
          <w:lang w:eastAsia="zh-CN"/>
        </w:rPr>
        <w:t>other bonuses and benefits in cash or in kind;</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ensure, where relevant, that any payments made in respect of any remuneration package are permitted under the latest shareholder approved remuneration policy and, if not, that either a revised remuneration policy or the proposed payment is submitted for shareholder approval;</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within the terms of the agreed remuneration policy, decide on any ex-gratia payments to be made and benefits granted to directors and senior management and their surviving spouses;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exercise any discretion or judgment on remuneration outcomes in accordance with any incentive schemes and the remuneration policy, taking account of company and individual performance, and wider circumstances; and</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agree the policy for authorising claims for expenses from the directors.</w:t>
      </w:r>
    </w:p>
    <w:p w:rsidR="00615535" w:rsidRPr="00AC0796" w:rsidRDefault="00615535" w:rsidP="00615535">
      <w:pPr>
        <w:pStyle w:val="ListParagraph"/>
        <w:ind w:left="792"/>
        <w:jc w:val="both"/>
        <w:rPr>
          <w:rFonts w:ascii="Segoe UI" w:hAnsi="Segoe UI" w:cs="Segoe UI"/>
          <w:sz w:val="21"/>
          <w:szCs w:val="21"/>
        </w:rPr>
      </w:pPr>
    </w:p>
    <w:p w:rsidR="00615535" w:rsidRPr="00AC0796" w:rsidRDefault="00615535" w:rsidP="00615535">
      <w:pPr>
        <w:pStyle w:val="ListParagraph"/>
        <w:numPr>
          <w:ilvl w:val="1"/>
          <w:numId w:val="6"/>
        </w:numPr>
        <w:ind w:left="567" w:hanging="567"/>
        <w:jc w:val="both"/>
        <w:rPr>
          <w:rFonts w:ascii="Segoe UI" w:hAnsi="Segoe UI" w:cs="Segoe UI"/>
          <w:b/>
          <w:sz w:val="21"/>
          <w:szCs w:val="21"/>
        </w:rPr>
      </w:pPr>
      <w:r w:rsidRPr="00AC0796">
        <w:rPr>
          <w:rFonts w:ascii="Segoe UI" w:eastAsia="Times New Roman" w:hAnsi="Segoe UI" w:cs="Segoe UI"/>
          <w:b/>
          <w:sz w:val="21"/>
          <w:szCs w:val="21"/>
          <w:lang w:eastAsia="zh-CN"/>
        </w:rPr>
        <w:t>Share based remuneration and bonus arrangements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recommend for approval by the board the design of, and determine the targets for, the operation of all long-term incentive schemes, including all schemes involving the award of</w:t>
      </w:r>
      <w:r>
        <w:rPr>
          <w:rFonts w:ascii="Segoe UI" w:eastAsia="Times New Roman" w:hAnsi="Segoe UI" w:cs="Segoe UI"/>
          <w:sz w:val="21"/>
          <w:szCs w:val="21"/>
          <w:lang w:eastAsia="zh-CN"/>
        </w:rPr>
        <w:t xml:space="preserve"> shares or the grant of options</w:t>
      </w:r>
      <w:r w:rsidRPr="00AC0796">
        <w:rPr>
          <w:rFonts w:ascii="Segoe UI" w:eastAsia="Times New Roman" w:hAnsi="Segoe UI" w:cs="Segoe UI"/>
          <w:sz w:val="21"/>
          <w:szCs w:val="21"/>
          <w:lang w:eastAsia="zh-CN"/>
        </w:rPr>
        <w:t xml:space="preserve">, in which executive directors, the </w:t>
      </w:r>
      <w:r>
        <w:rPr>
          <w:rFonts w:ascii="Segoe UI" w:eastAsia="Times New Roman" w:hAnsi="Segoe UI" w:cs="Segoe UI"/>
          <w:sz w:val="21"/>
          <w:szCs w:val="21"/>
          <w:lang w:eastAsia="zh-CN"/>
        </w:rPr>
        <w:t>C</w:t>
      </w:r>
      <w:r w:rsidRPr="00AC0796">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C0796">
        <w:rPr>
          <w:rFonts w:ascii="Segoe UI" w:eastAsia="Times New Roman" w:hAnsi="Segoe UI" w:cs="Segoe UI"/>
          <w:sz w:val="21"/>
          <w:szCs w:val="21"/>
          <w:lang w:eastAsia="zh-CN"/>
        </w:rPr>
        <w:t>ecretary an</w:t>
      </w:r>
      <w:r>
        <w:rPr>
          <w:rFonts w:ascii="Segoe UI" w:eastAsia="Times New Roman" w:hAnsi="Segoe UI" w:cs="Segoe UI"/>
          <w:sz w:val="21"/>
          <w:szCs w:val="21"/>
          <w:lang w:eastAsia="zh-CN"/>
        </w:rPr>
        <w:t>d senior management participate</w:t>
      </w:r>
      <w:r w:rsidRPr="00AC0796">
        <w:rPr>
          <w:rFonts w:ascii="Segoe UI" w:eastAsia="Times New Roman" w:hAnsi="Segoe UI" w:cs="Segoe UI"/>
          <w:sz w:val="21"/>
          <w:szCs w:val="21"/>
          <w:lang w:eastAsia="zh-CN"/>
        </w:rPr>
        <w:t>. For any such schemes or plans, determine each year whether the awards will be made, and if so, approve the levels of participation in such scheme</w:t>
      </w:r>
      <w:r>
        <w:rPr>
          <w:rFonts w:ascii="Segoe UI" w:eastAsia="Times New Roman" w:hAnsi="Segoe UI" w:cs="Segoe UI"/>
          <w:sz w:val="21"/>
          <w:szCs w:val="21"/>
          <w:lang w:eastAsia="zh-CN"/>
        </w:rPr>
        <w:t>s or plans by those individuals</w:t>
      </w:r>
      <w:r w:rsidRPr="00AC0796">
        <w:rPr>
          <w:rFonts w:ascii="Segoe UI" w:eastAsia="Times New Roman" w:hAnsi="Segoe UI" w:cs="Segoe UI"/>
          <w:sz w:val="21"/>
          <w:szCs w:val="21"/>
          <w:lang w:eastAsia="zh-CN"/>
        </w:rPr>
        <w:t>;</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monitor and assess any performance conditions applicable to any long-term incentive awards granted under any schemes or plans adopted by the Company. Ensure that the performance conditions are fully explained, aligned to the Company purpose and values, and clearly linked to the successful delivery of the Company's long-term strategy and enhancement of shareholder value. Consider whether any factors should be </w:t>
      </w:r>
      <w:proofErr w:type="gramStart"/>
      <w:r w:rsidRPr="00AC0796">
        <w:rPr>
          <w:rFonts w:ascii="Segoe UI" w:eastAsia="Times New Roman" w:hAnsi="Segoe UI" w:cs="Segoe UI"/>
          <w:sz w:val="21"/>
          <w:szCs w:val="21"/>
          <w:lang w:eastAsia="zh-CN"/>
        </w:rPr>
        <w:t>taken into account</w:t>
      </w:r>
      <w:proofErr w:type="gramEnd"/>
      <w:r w:rsidRPr="00AC0796">
        <w:rPr>
          <w:rFonts w:ascii="Segoe UI" w:eastAsia="Times New Roman" w:hAnsi="Segoe UI" w:cs="Segoe UI"/>
          <w:sz w:val="21"/>
          <w:szCs w:val="21"/>
          <w:lang w:eastAsia="zh-CN"/>
        </w:rPr>
        <w:t xml:space="preserve"> which would make an alternative outcome more appropriate and aligned t</w:t>
      </w:r>
      <w:r>
        <w:rPr>
          <w:rFonts w:ascii="Segoe UI" w:eastAsia="Times New Roman" w:hAnsi="Segoe UI" w:cs="Segoe UI"/>
          <w:sz w:val="21"/>
          <w:szCs w:val="21"/>
          <w:lang w:eastAsia="zh-CN"/>
        </w:rPr>
        <w:t>o the interests of shareholders</w:t>
      </w:r>
      <w:r w:rsidRPr="00AC0796">
        <w:rPr>
          <w:rFonts w:ascii="Segoe UI" w:eastAsia="Times New Roman" w:hAnsi="Segoe UI" w:cs="Segoe UI"/>
          <w:sz w:val="21"/>
          <w:szCs w:val="21"/>
          <w:lang w:eastAsia="zh-CN"/>
        </w:rPr>
        <w:t>;</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consider whether the executive directors, the </w:t>
      </w:r>
      <w:r>
        <w:rPr>
          <w:rFonts w:ascii="Segoe UI" w:eastAsia="Times New Roman" w:hAnsi="Segoe UI" w:cs="Segoe UI"/>
          <w:sz w:val="21"/>
          <w:szCs w:val="21"/>
          <w:lang w:eastAsia="zh-CN"/>
        </w:rPr>
        <w:t>C</w:t>
      </w:r>
      <w:r w:rsidRPr="00AC0796">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C0796">
        <w:rPr>
          <w:rFonts w:ascii="Segoe UI" w:eastAsia="Times New Roman" w:hAnsi="Segoe UI" w:cs="Segoe UI"/>
          <w:sz w:val="21"/>
          <w:szCs w:val="21"/>
          <w:lang w:eastAsia="zh-CN"/>
        </w:rPr>
        <w:t>ecretary and senior management should be eligible for annual bonuses. Bonuses shall be used to reward a contribution to the business w</w:t>
      </w:r>
      <w:r>
        <w:rPr>
          <w:rFonts w:ascii="Segoe UI" w:eastAsia="Times New Roman" w:hAnsi="Segoe UI" w:cs="Segoe UI"/>
          <w:sz w:val="21"/>
          <w:szCs w:val="21"/>
          <w:lang w:eastAsia="zh-CN"/>
        </w:rPr>
        <w:t>hich exceeds the level expected</w:t>
      </w:r>
      <w:r w:rsidRPr="00AC0796">
        <w:rPr>
          <w:rFonts w:ascii="Segoe UI" w:eastAsia="Times New Roman" w:hAnsi="Segoe UI" w:cs="Segoe UI"/>
          <w:sz w:val="21"/>
          <w:szCs w:val="21"/>
          <w:lang w:eastAsia="zh-CN"/>
        </w:rPr>
        <w:t>;</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recommend for approval by the board the design of, and determine annual targets and key performance indicators for, any bonus scheme operated by the Company and assess performance against targets and key performance indicators, by the Company, individual executive directors, the </w:t>
      </w:r>
      <w:r>
        <w:rPr>
          <w:rFonts w:ascii="Segoe UI" w:eastAsia="Times New Roman" w:hAnsi="Segoe UI" w:cs="Segoe UI"/>
          <w:sz w:val="21"/>
          <w:szCs w:val="21"/>
          <w:lang w:eastAsia="zh-CN"/>
        </w:rPr>
        <w:t>C</w:t>
      </w:r>
      <w:r w:rsidRPr="00AC0796">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C0796">
        <w:rPr>
          <w:rFonts w:ascii="Segoe UI" w:eastAsia="Times New Roman" w:hAnsi="Segoe UI" w:cs="Segoe UI"/>
          <w:sz w:val="21"/>
          <w:szCs w:val="21"/>
          <w:lang w:eastAsia="zh-CN"/>
        </w:rPr>
        <w:t>ecretary and senior management;</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exercise independent judgement and discretion when authorising outcomes under all incentive arrangements, taking account of company and individual performance, and wider circumstances;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design and invoke agreed safeguards, for example, clawback or withholding the payment of any sum or share award, to protect against rewards for failure through </w:t>
      </w:r>
      <w:r w:rsidRPr="00AC0796">
        <w:rPr>
          <w:rFonts w:ascii="Segoe UI" w:eastAsia="Times New Roman" w:hAnsi="Segoe UI" w:cs="Segoe UI"/>
          <w:sz w:val="21"/>
          <w:szCs w:val="21"/>
          <w:lang w:eastAsia="zh-CN"/>
        </w:rPr>
        <w:lastRenderedPageBreak/>
        <w:t>appropriate risk management of any incentive arrangements to ensure that any performance-related payments reflect actual achievements; and</w:t>
      </w:r>
    </w:p>
    <w:p w:rsidR="00615535" w:rsidRPr="00717FCB"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ensure that all incentive arrangements are aligned to the Company’s risk policies and systems, its purpose and values, support the strategy and promot</w:t>
      </w:r>
      <w:r>
        <w:rPr>
          <w:rFonts w:ascii="Segoe UI" w:eastAsia="Times New Roman" w:hAnsi="Segoe UI" w:cs="Segoe UI"/>
          <w:sz w:val="21"/>
          <w:szCs w:val="21"/>
          <w:lang w:eastAsia="zh-CN"/>
        </w:rPr>
        <w:t>e long-term sustainable success.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Pr>
          <w:rFonts w:ascii="Segoe UI" w:eastAsia="Times New Roman" w:hAnsi="Segoe UI" w:cs="Segoe UI"/>
          <w:sz w:val="21"/>
          <w:szCs w:val="21"/>
          <w:lang w:eastAsia="zh-CN"/>
        </w:rPr>
        <w:t>advise on any major changes in employee share plans.</w:t>
      </w:r>
    </w:p>
    <w:p w:rsidR="00615535" w:rsidRPr="00AC0796" w:rsidRDefault="00615535" w:rsidP="00615535">
      <w:pPr>
        <w:pStyle w:val="ListParagraph"/>
        <w:ind w:left="567"/>
        <w:jc w:val="both"/>
        <w:rPr>
          <w:rFonts w:ascii="Segoe UI" w:hAnsi="Segoe UI" w:cs="Segoe UI"/>
          <w:b/>
          <w:sz w:val="21"/>
          <w:szCs w:val="21"/>
        </w:rPr>
      </w:pPr>
    </w:p>
    <w:p w:rsidR="00615535" w:rsidRPr="00AC0796" w:rsidRDefault="00615535" w:rsidP="00615535">
      <w:pPr>
        <w:pStyle w:val="ListParagraph"/>
        <w:numPr>
          <w:ilvl w:val="1"/>
          <w:numId w:val="6"/>
        </w:numPr>
        <w:ind w:left="567" w:hanging="567"/>
        <w:jc w:val="both"/>
        <w:rPr>
          <w:rFonts w:ascii="Segoe UI" w:hAnsi="Segoe UI" w:cs="Segoe UI"/>
          <w:b/>
          <w:sz w:val="21"/>
          <w:szCs w:val="21"/>
        </w:rPr>
      </w:pPr>
      <w:r w:rsidRPr="00AC0796">
        <w:rPr>
          <w:rFonts w:ascii="Segoe UI" w:eastAsia="Times New Roman" w:hAnsi="Segoe UI" w:cs="Segoe UI"/>
          <w:b/>
          <w:sz w:val="21"/>
          <w:szCs w:val="21"/>
          <w:lang w:eastAsia="zh-CN"/>
        </w:rPr>
        <w:t>Pensions</w:t>
      </w:r>
    </w:p>
    <w:p w:rsidR="00615535" w:rsidRPr="00AC0796" w:rsidRDefault="00615535" w:rsidP="00615535">
      <w:pPr>
        <w:jc w:val="both"/>
        <w:rPr>
          <w:rFonts w:ascii="Segoe UI" w:hAnsi="Segoe UI" w:cs="Segoe UI"/>
          <w:b/>
          <w:sz w:val="21"/>
          <w:szCs w:val="21"/>
        </w:rPr>
      </w:pPr>
      <w:r w:rsidRPr="00AC0796">
        <w:rPr>
          <w:rFonts w:ascii="Segoe UI" w:eastAsia="Times New Roman" w:hAnsi="Segoe UI" w:cs="Segoe UI"/>
          <w:sz w:val="21"/>
          <w:szCs w:val="21"/>
          <w:lang w:eastAsia="zh-CN"/>
        </w:rPr>
        <w:t xml:space="preserve">Review the pension arrangements for the executive directors, the </w:t>
      </w:r>
      <w:r>
        <w:rPr>
          <w:rFonts w:ascii="Segoe UI" w:eastAsia="Times New Roman" w:hAnsi="Segoe UI" w:cs="Segoe UI"/>
          <w:sz w:val="21"/>
          <w:szCs w:val="21"/>
          <w:lang w:eastAsia="zh-CN"/>
        </w:rPr>
        <w:t>C</w:t>
      </w:r>
      <w:r w:rsidRPr="00AC0796">
        <w:rPr>
          <w:rFonts w:ascii="Segoe UI" w:eastAsia="Times New Roman" w:hAnsi="Segoe UI" w:cs="Segoe UI"/>
          <w:sz w:val="21"/>
          <w:szCs w:val="21"/>
          <w:lang w:eastAsia="zh-CN"/>
        </w:rPr>
        <w:t xml:space="preserve">ompany </w:t>
      </w:r>
      <w:r>
        <w:rPr>
          <w:rFonts w:ascii="Segoe UI" w:eastAsia="Times New Roman" w:hAnsi="Segoe UI" w:cs="Segoe UI"/>
          <w:sz w:val="21"/>
          <w:szCs w:val="21"/>
          <w:lang w:eastAsia="zh-CN"/>
        </w:rPr>
        <w:t>S</w:t>
      </w:r>
      <w:r w:rsidRPr="00AC0796">
        <w:rPr>
          <w:rFonts w:ascii="Segoe UI" w:eastAsia="Times New Roman" w:hAnsi="Segoe UI" w:cs="Segoe UI"/>
          <w:sz w:val="21"/>
          <w:szCs w:val="21"/>
          <w:lang w:eastAsia="zh-CN"/>
        </w:rPr>
        <w:t xml:space="preserve">ecretary </w:t>
      </w:r>
      <w:r>
        <w:rPr>
          <w:rFonts w:ascii="Segoe UI" w:eastAsia="Times New Roman" w:hAnsi="Segoe UI" w:cs="Segoe UI"/>
          <w:sz w:val="21"/>
          <w:szCs w:val="21"/>
          <w:lang w:eastAsia="zh-CN"/>
        </w:rPr>
        <w:t>and senior management</w:t>
      </w:r>
      <w:r w:rsidRPr="00AC0796">
        <w:rPr>
          <w:rFonts w:ascii="Segoe UI" w:eastAsia="Times New Roman" w:hAnsi="Segoe UI" w:cs="Segoe UI"/>
          <w:sz w:val="21"/>
          <w:szCs w:val="21"/>
          <w:lang w:eastAsia="zh-CN"/>
        </w:rPr>
        <w:t xml:space="preserve"> and consider:</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the alignment of pension contribution rates, or payments in lieu, for executive directors</w:t>
      </w:r>
      <w:r>
        <w:rPr>
          <w:rFonts w:ascii="Segoe UI" w:eastAsia="Times New Roman" w:hAnsi="Segoe UI" w:cs="Segoe UI"/>
          <w:sz w:val="21"/>
          <w:szCs w:val="21"/>
          <w:lang w:eastAsia="zh-CN"/>
        </w:rPr>
        <w:t xml:space="preserve"> </w:t>
      </w:r>
      <w:r w:rsidRPr="00AC0796">
        <w:rPr>
          <w:rFonts w:ascii="Segoe UI" w:eastAsia="Times New Roman" w:hAnsi="Segoe UI" w:cs="Segoe UI"/>
          <w:sz w:val="21"/>
          <w:szCs w:val="21"/>
          <w:lang w:eastAsia="zh-CN"/>
        </w:rPr>
        <w:t>with those available to the workforce; and</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the pension consequences and associated costs to the Company of basic salary increases and any other changes in pensionable remuneration or contribution rates, particularly for directors close to retirement, when compared with workforce arrangements.</w:t>
      </w:r>
    </w:p>
    <w:p w:rsidR="00615535" w:rsidRPr="00AC0796" w:rsidRDefault="00615535" w:rsidP="00615535">
      <w:pPr>
        <w:pStyle w:val="ListParagraph"/>
        <w:ind w:left="792"/>
        <w:jc w:val="both"/>
        <w:rPr>
          <w:rFonts w:ascii="Segoe UI" w:hAnsi="Segoe UI" w:cs="Segoe UI"/>
          <w:sz w:val="21"/>
          <w:szCs w:val="21"/>
        </w:rPr>
      </w:pPr>
    </w:p>
    <w:p w:rsidR="00615535" w:rsidRPr="00AC0796" w:rsidRDefault="00615535" w:rsidP="00615535">
      <w:pPr>
        <w:pStyle w:val="ListParagraph"/>
        <w:numPr>
          <w:ilvl w:val="1"/>
          <w:numId w:val="6"/>
        </w:numPr>
        <w:ind w:left="567" w:hanging="567"/>
        <w:jc w:val="both"/>
        <w:rPr>
          <w:rFonts w:ascii="Segoe UI" w:hAnsi="Segoe UI" w:cs="Segoe UI"/>
          <w:b/>
          <w:sz w:val="21"/>
          <w:szCs w:val="21"/>
        </w:rPr>
      </w:pPr>
      <w:r w:rsidRPr="00AC0796">
        <w:rPr>
          <w:rFonts w:ascii="Segoe UI" w:eastAsia="Times New Roman" w:hAnsi="Segoe UI" w:cs="Segoe UI"/>
          <w:b/>
          <w:sz w:val="21"/>
          <w:szCs w:val="21"/>
          <w:lang w:eastAsia="zh-CN"/>
        </w:rPr>
        <w:t>Service contracts and severance</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approve the terms of the service contracts, the duration of which shall not normally exceed one year's notice period, for executive directors and any material amendments to those contracts; </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determine the policy for, and scope of, termination payments and compensation commitments for each executive director</w:t>
      </w:r>
      <w:r>
        <w:rPr>
          <w:rFonts w:ascii="Segoe UI" w:eastAsia="Times New Roman" w:hAnsi="Segoe UI" w:cs="Segoe UI"/>
          <w:sz w:val="21"/>
          <w:szCs w:val="21"/>
          <w:lang w:eastAsia="zh-CN"/>
        </w:rPr>
        <w:t xml:space="preserve"> </w:t>
      </w:r>
      <w:r w:rsidRPr="00AC0796">
        <w:rPr>
          <w:rFonts w:ascii="Segoe UI" w:eastAsia="Times New Roman" w:hAnsi="Segoe UI" w:cs="Segoe UI"/>
          <w:sz w:val="21"/>
          <w:szCs w:val="21"/>
          <w:lang w:eastAsia="zh-CN"/>
        </w:rPr>
        <w:t>and ensure that poor performance is not rewarded and that there is a clear policy to link non-contractual payments to performance; and</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ensure that contractual terms on termination, and any payments made, are fair to the individual and the Company and in accordance with legal and regulatory requirements, that failure is not rewarded and that the duty to mitigate loss is fully recognised.</w:t>
      </w:r>
    </w:p>
    <w:p w:rsidR="00615535" w:rsidRPr="00AC0796" w:rsidRDefault="00615535" w:rsidP="00615535">
      <w:pPr>
        <w:pStyle w:val="ListParagraph"/>
        <w:ind w:left="792"/>
        <w:jc w:val="both"/>
        <w:rPr>
          <w:rFonts w:ascii="Segoe UI" w:hAnsi="Segoe UI" w:cs="Segoe UI"/>
          <w:sz w:val="21"/>
          <w:szCs w:val="21"/>
        </w:rPr>
      </w:pPr>
    </w:p>
    <w:p w:rsidR="00615535" w:rsidRPr="00AC0796" w:rsidRDefault="00615535" w:rsidP="00615535">
      <w:pPr>
        <w:pStyle w:val="ListParagraph"/>
        <w:numPr>
          <w:ilvl w:val="1"/>
          <w:numId w:val="6"/>
        </w:numPr>
        <w:ind w:left="567" w:hanging="567"/>
        <w:jc w:val="both"/>
        <w:rPr>
          <w:rFonts w:ascii="Segoe UI" w:hAnsi="Segoe UI" w:cs="Segoe UI"/>
          <w:b/>
          <w:sz w:val="21"/>
          <w:szCs w:val="21"/>
        </w:rPr>
      </w:pPr>
      <w:r w:rsidRPr="00AC0796">
        <w:rPr>
          <w:rFonts w:ascii="Segoe UI" w:eastAsia="Times New Roman" w:hAnsi="Segoe UI" w:cs="Segoe UI"/>
          <w:b/>
          <w:sz w:val="21"/>
          <w:szCs w:val="21"/>
          <w:lang w:eastAsia="zh-CN"/>
        </w:rPr>
        <w:t>Workforce remuneration and related policies</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review workforce remuneration and related policies and the alignment of incentives and rewards with culture; </w:t>
      </w:r>
    </w:p>
    <w:p w:rsidR="00615535" w:rsidRPr="00AC0796" w:rsidRDefault="00615535" w:rsidP="00615535">
      <w:pPr>
        <w:pStyle w:val="ListParagraph"/>
        <w:numPr>
          <w:ilvl w:val="2"/>
          <w:numId w:val="6"/>
        </w:numPr>
        <w:ind w:left="1276" w:hanging="709"/>
        <w:jc w:val="both"/>
        <w:rPr>
          <w:rFonts w:ascii="Segoe UI" w:hAnsi="Segoe UI" w:cs="Segoe UI"/>
          <w:sz w:val="21"/>
          <w:szCs w:val="21"/>
        </w:rPr>
      </w:pPr>
      <w:r w:rsidRPr="00AC0796">
        <w:rPr>
          <w:rFonts w:ascii="Segoe UI" w:eastAsia="Times New Roman" w:hAnsi="Segoe UI" w:cs="Segoe UI"/>
          <w:sz w:val="21"/>
          <w:szCs w:val="21"/>
          <w:lang w:eastAsia="zh-CN"/>
        </w:rPr>
        <w:t xml:space="preserve">when setting the policy for executive director remuneration, </w:t>
      </w:r>
      <w:proofErr w:type="gramStart"/>
      <w:r w:rsidRPr="00AC0796">
        <w:rPr>
          <w:rFonts w:ascii="Segoe UI" w:eastAsia="Times New Roman" w:hAnsi="Segoe UI" w:cs="Segoe UI"/>
          <w:sz w:val="21"/>
          <w:szCs w:val="21"/>
          <w:lang w:eastAsia="zh-CN"/>
        </w:rPr>
        <w:t>take into account</w:t>
      </w:r>
      <w:proofErr w:type="gramEnd"/>
      <w:r w:rsidRPr="00AC0796">
        <w:rPr>
          <w:rFonts w:ascii="Segoe UI" w:eastAsia="Times New Roman" w:hAnsi="Segoe UI" w:cs="Segoe UI"/>
          <w:sz w:val="21"/>
          <w:szCs w:val="21"/>
          <w:lang w:eastAsia="zh-CN"/>
        </w:rPr>
        <w:t xml:space="preserve"> the matters in paragraph 3.5</w:t>
      </w:r>
      <w:r>
        <w:rPr>
          <w:rFonts w:ascii="Segoe UI" w:eastAsia="Times New Roman" w:hAnsi="Segoe UI" w:cs="Segoe UI"/>
          <w:sz w:val="21"/>
          <w:szCs w:val="21"/>
          <w:lang w:eastAsia="zh-CN"/>
        </w:rPr>
        <w:t xml:space="preserve">.1; </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641E7B">
        <w:rPr>
          <w:rFonts w:ascii="Segoe UI" w:eastAsia="Times New Roman" w:hAnsi="Segoe UI" w:cs="Segoe UI"/>
          <w:sz w:val="21"/>
          <w:szCs w:val="21"/>
          <w:lang w:eastAsia="zh-CN"/>
        </w:rPr>
        <w:t>describe what engagement with the workforce has taken place to explain how executive remuneration aligns with wider company pay policy in its annual report on remuneration</w:t>
      </w:r>
      <w:r w:rsidRPr="00AC0796">
        <w:rPr>
          <w:rFonts w:ascii="Segoe UI" w:eastAsia="Times New Roman" w:hAnsi="Segoe UI" w:cs="Segoe UI"/>
          <w:sz w:val="21"/>
          <w:szCs w:val="21"/>
          <w:lang w:eastAsia="zh-CN"/>
        </w:rPr>
        <w:t xml:space="preserve">; and </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oversee any major changes in remuneration and employee benefits structures throughout the Group.</w:t>
      </w:r>
    </w:p>
    <w:p w:rsidR="00615535" w:rsidRDefault="00615535" w:rsidP="00615535">
      <w:pPr>
        <w:pStyle w:val="ListParagraph"/>
        <w:ind w:left="792"/>
        <w:jc w:val="both"/>
        <w:rPr>
          <w:rFonts w:ascii="Segoe UI" w:eastAsia="Times New Roman" w:hAnsi="Segoe UI" w:cs="Segoe UI"/>
          <w:sz w:val="21"/>
          <w:szCs w:val="21"/>
          <w:lang w:eastAsia="zh-CN"/>
        </w:rPr>
      </w:pPr>
    </w:p>
    <w:p w:rsidR="00615535" w:rsidRDefault="00615535" w:rsidP="00615535">
      <w:pPr>
        <w:pStyle w:val="ListParagraph"/>
        <w:numPr>
          <w:ilvl w:val="1"/>
          <w:numId w:val="6"/>
        </w:numPr>
        <w:ind w:left="567" w:hanging="567"/>
        <w:jc w:val="both"/>
        <w:rPr>
          <w:rFonts w:ascii="Segoe UI" w:eastAsia="Times New Roman" w:hAnsi="Segoe UI" w:cs="Segoe UI"/>
          <w:b/>
          <w:sz w:val="21"/>
          <w:szCs w:val="21"/>
          <w:lang w:eastAsia="zh-CN"/>
        </w:rPr>
      </w:pPr>
      <w:r w:rsidRPr="00AC0796">
        <w:rPr>
          <w:rFonts w:ascii="Segoe UI" w:eastAsia="Times New Roman" w:hAnsi="Segoe UI" w:cs="Segoe UI"/>
          <w:b/>
          <w:sz w:val="21"/>
          <w:szCs w:val="21"/>
          <w:lang w:eastAsia="zh-CN"/>
        </w:rPr>
        <w:t>Remuneration consultants</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lastRenderedPageBreak/>
        <w:t>to help it to fulfil its obligations and enable it to judge where to position the Company relative to other companies, have full authority to appoint remuneration consultants and to commission or purchase any reports, surveys or information which it deems necessary, at the expense of the Company but within any budgetary restraints imposed by the board; and</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be exclusively responsible for establishing the selection criteria, selecting, appointing and setting the terms of reference for any remuneration consultants who advise the Committee.</w:t>
      </w:r>
    </w:p>
    <w:p w:rsidR="00615535" w:rsidRDefault="00615535" w:rsidP="00615535">
      <w:pPr>
        <w:pStyle w:val="ListParagraph"/>
        <w:ind w:left="567"/>
        <w:jc w:val="both"/>
        <w:rPr>
          <w:rFonts w:ascii="Segoe UI" w:eastAsia="Times New Roman" w:hAnsi="Segoe UI" w:cs="Segoe UI"/>
          <w:sz w:val="21"/>
          <w:szCs w:val="21"/>
          <w:lang w:eastAsia="zh-CN"/>
        </w:rPr>
      </w:pPr>
    </w:p>
    <w:p w:rsidR="00615535" w:rsidRDefault="00615535" w:rsidP="00615535">
      <w:pPr>
        <w:pStyle w:val="ListParagraph"/>
        <w:numPr>
          <w:ilvl w:val="1"/>
          <w:numId w:val="6"/>
        </w:numPr>
        <w:ind w:left="567" w:hanging="567"/>
        <w:jc w:val="both"/>
        <w:rPr>
          <w:rFonts w:ascii="Segoe UI" w:eastAsia="Times New Roman" w:hAnsi="Segoe UI" w:cs="Segoe UI"/>
          <w:b/>
          <w:sz w:val="21"/>
          <w:szCs w:val="21"/>
          <w:lang w:eastAsia="zh-CN"/>
        </w:rPr>
      </w:pPr>
      <w:r w:rsidRPr="00AC0796">
        <w:rPr>
          <w:rFonts w:ascii="Segoe UI" w:eastAsia="Times New Roman" w:hAnsi="Segoe UI" w:cs="Segoe UI"/>
          <w:b/>
          <w:sz w:val="21"/>
          <w:szCs w:val="21"/>
          <w:lang w:eastAsia="zh-CN"/>
        </w:rPr>
        <w:t>Shareholder approval</w:t>
      </w:r>
    </w:p>
    <w:p w:rsidR="00615535" w:rsidRPr="00AC0796"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produce a report to shareholders annually on matters relating to remuneration that shall include the information required to be disclosed by the Companies Act 2006 (including any regulations made under that Act</w:t>
      </w:r>
      <w:r>
        <w:rPr>
          <w:rFonts w:ascii="Segoe UI" w:eastAsia="Times New Roman" w:hAnsi="Segoe UI" w:cs="Segoe UI"/>
          <w:sz w:val="21"/>
          <w:szCs w:val="21"/>
          <w:lang w:eastAsia="zh-CN"/>
        </w:rPr>
        <w:t xml:space="preserve">), the Code, the Listing Rules </w:t>
      </w:r>
      <w:r w:rsidRPr="00AC0796">
        <w:rPr>
          <w:rFonts w:ascii="Segoe UI" w:eastAsia="Times New Roman" w:hAnsi="Segoe UI" w:cs="Segoe UI"/>
          <w:sz w:val="21"/>
          <w:szCs w:val="21"/>
          <w:lang w:eastAsia="zh-CN"/>
        </w:rPr>
        <w:t>and any other relevant statutory, regulatory or governance codes and incorporate:</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 xml:space="preserve">an annual statement by the Committee’s chair and annual report on directors' remuneration (together, </w:t>
      </w:r>
      <w:r w:rsidRPr="00032E52">
        <w:rPr>
          <w:rFonts w:ascii="Segoe UI" w:eastAsia="Times New Roman" w:hAnsi="Segoe UI" w:cs="Segoe UI"/>
          <w:b/>
          <w:sz w:val="21"/>
          <w:szCs w:val="21"/>
          <w:lang w:eastAsia="zh-CN"/>
        </w:rPr>
        <w:t>annual remuneration report</w:t>
      </w:r>
      <w:r w:rsidRPr="00AC0796">
        <w:rPr>
          <w:rFonts w:ascii="Segoe UI" w:eastAsia="Times New Roman" w:hAnsi="Segoe UI" w:cs="Segoe UI"/>
          <w:sz w:val="21"/>
          <w:szCs w:val="21"/>
          <w:lang w:eastAsia="zh-CN"/>
        </w:rPr>
        <w:t>); and</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 xml:space="preserve">the directors’ remuneration policy when it must be submitted for approval </w:t>
      </w:r>
      <w:r>
        <w:rPr>
          <w:rFonts w:ascii="Segoe UI" w:eastAsia="Times New Roman" w:hAnsi="Segoe UI" w:cs="Segoe UI"/>
          <w:sz w:val="21"/>
          <w:szCs w:val="21"/>
          <w:lang w:eastAsia="zh-CN"/>
        </w:rPr>
        <w:t>in accordance with paragraph 3.7.2 (</w:t>
      </w:r>
      <w:r w:rsidRPr="00032E52">
        <w:rPr>
          <w:rFonts w:ascii="Segoe UI" w:eastAsia="Times New Roman" w:hAnsi="Segoe UI" w:cs="Segoe UI"/>
          <w:b/>
          <w:sz w:val="21"/>
          <w:szCs w:val="21"/>
          <w:lang w:eastAsia="zh-CN"/>
        </w:rPr>
        <w:t>directors’ remuneration policy</w:t>
      </w:r>
      <w:r>
        <w:rPr>
          <w:rFonts w:ascii="Segoe UI" w:eastAsia="Times New Roman" w:hAnsi="Segoe UI" w:cs="Segoe UI"/>
          <w:sz w:val="21"/>
          <w:szCs w:val="21"/>
          <w:lang w:eastAsia="zh-CN"/>
        </w:rPr>
        <w:t xml:space="preserve">) </w:t>
      </w:r>
      <w:r w:rsidRPr="00AC0796">
        <w:rPr>
          <w:rFonts w:ascii="Segoe UI" w:eastAsia="Times New Roman" w:hAnsi="Segoe UI" w:cs="Segoe UI"/>
          <w:sz w:val="21"/>
          <w:szCs w:val="21"/>
          <w:lang w:eastAsia="zh-CN"/>
        </w:rPr>
        <w:t>and, in any other case, either the directors' remuneration policy, a summary of such policy or details of when the directors' remuneration policy was approved and where it can be found on the Company's website;</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 xml:space="preserve">submit the directors’ remuneration policy for approval </w:t>
      </w:r>
      <w:r>
        <w:rPr>
          <w:rFonts w:ascii="Segoe UI" w:eastAsia="Times New Roman" w:hAnsi="Segoe UI" w:cs="Segoe UI"/>
          <w:sz w:val="21"/>
          <w:szCs w:val="21"/>
          <w:lang w:eastAsia="zh-CN"/>
        </w:rPr>
        <w:t>by the board and shareholder:</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AC0796">
        <w:rPr>
          <w:rFonts w:ascii="Segoe UI" w:eastAsia="Times New Roman" w:hAnsi="Segoe UI" w:cs="Segoe UI"/>
          <w:sz w:val="21"/>
          <w:szCs w:val="21"/>
          <w:lang w:eastAsia="zh-CN"/>
        </w:rPr>
        <w:t>every three years;</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032E52">
        <w:rPr>
          <w:rFonts w:ascii="Segoe UI" w:eastAsia="Times New Roman" w:hAnsi="Segoe UI" w:cs="Segoe UI"/>
          <w:sz w:val="21"/>
          <w:szCs w:val="21"/>
          <w:lang w:eastAsia="zh-CN"/>
        </w:rPr>
        <w:t>in any year in which there is a change to the policy;</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032E52">
        <w:rPr>
          <w:rFonts w:ascii="Segoe UI" w:eastAsia="Times New Roman" w:hAnsi="Segoe UI" w:cs="Segoe UI"/>
          <w:sz w:val="21"/>
          <w:szCs w:val="21"/>
          <w:lang w:eastAsia="zh-CN"/>
        </w:rPr>
        <w:t>if shareholder approval was not obtained when last submitted; and</w:t>
      </w:r>
    </w:p>
    <w:p w:rsidR="00615535" w:rsidRDefault="00615535" w:rsidP="00615535">
      <w:pPr>
        <w:pStyle w:val="ListParagraph"/>
        <w:numPr>
          <w:ilvl w:val="3"/>
          <w:numId w:val="6"/>
        </w:numPr>
        <w:ind w:left="2127" w:hanging="851"/>
        <w:jc w:val="both"/>
        <w:rPr>
          <w:rFonts w:ascii="Segoe UI" w:eastAsia="Times New Roman" w:hAnsi="Segoe UI" w:cs="Segoe UI"/>
          <w:sz w:val="21"/>
          <w:szCs w:val="21"/>
          <w:lang w:eastAsia="zh-CN"/>
        </w:rPr>
      </w:pPr>
      <w:r w:rsidRPr="00032E52">
        <w:rPr>
          <w:rFonts w:ascii="Segoe UI" w:eastAsia="Times New Roman" w:hAnsi="Segoe UI" w:cs="Segoe UI"/>
          <w:sz w:val="21"/>
          <w:szCs w:val="21"/>
          <w:lang w:eastAsia="zh-CN"/>
        </w:rPr>
        <w:t>if majority shareholder approval was not achieved on the last submitted annual remuneration report; and</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032E52">
        <w:rPr>
          <w:rFonts w:ascii="Segoe UI" w:eastAsia="Times New Roman" w:hAnsi="Segoe UI" w:cs="Segoe UI"/>
          <w:sz w:val="21"/>
          <w:szCs w:val="21"/>
          <w:lang w:eastAsia="zh-CN"/>
        </w:rPr>
        <w:t>submit the annual remuneration report for approval on an advisory basis by the board and shareholders at the annual general meeting each year; and</w:t>
      </w:r>
    </w:p>
    <w:p w:rsidR="00615535" w:rsidRPr="00032E52"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Pr>
          <w:rFonts w:ascii="Segoe UI" w:eastAsia="Times New Roman" w:hAnsi="Segoe UI" w:cs="Segoe UI"/>
          <w:sz w:val="21"/>
          <w:szCs w:val="21"/>
          <w:lang w:eastAsia="zh-CN"/>
        </w:rPr>
        <w:t>s</w:t>
      </w:r>
      <w:r w:rsidRPr="00032E52">
        <w:rPr>
          <w:rFonts w:ascii="Segoe UI" w:eastAsia="Times New Roman" w:hAnsi="Segoe UI" w:cs="Segoe UI"/>
          <w:sz w:val="21"/>
          <w:szCs w:val="21"/>
          <w:lang w:eastAsia="zh-CN"/>
        </w:rPr>
        <w:t>ubject to delegation of authority by the board, engage in appropriate discussions as necessary with shareholders if, 20 per cent. or more of votes have been cast by shareholders against a resolution to approve the annual remuneration report or directors' remuneration policy or any long-term incentive scheme at any annual general meeting or general meeting</w:t>
      </w:r>
      <w:proofErr w:type="gramStart"/>
      <w:r w:rsidRPr="00032E52">
        <w:rPr>
          <w:rFonts w:ascii="Segoe UI" w:eastAsia="Times New Roman" w:hAnsi="Segoe UI" w:cs="Segoe UI"/>
          <w:sz w:val="21"/>
          <w:szCs w:val="21"/>
          <w:lang w:eastAsia="zh-CN"/>
        </w:rPr>
        <w:t>, as the case may be, and</w:t>
      </w:r>
      <w:proofErr w:type="gramEnd"/>
      <w:r w:rsidRPr="00032E52">
        <w:rPr>
          <w:rFonts w:ascii="Segoe UI" w:eastAsia="Times New Roman" w:hAnsi="Segoe UI" w:cs="Segoe UI"/>
          <w:sz w:val="21"/>
          <w:szCs w:val="21"/>
          <w:lang w:eastAsia="zh-CN"/>
        </w:rPr>
        <w:t xml:space="preserve"> agree with the board any appropriate disclosure, including in the annual report. </w:t>
      </w:r>
    </w:p>
    <w:p w:rsidR="00615535" w:rsidRDefault="00615535" w:rsidP="00615535">
      <w:pPr>
        <w:pStyle w:val="ListParagraph"/>
        <w:ind w:left="567"/>
        <w:jc w:val="both"/>
        <w:rPr>
          <w:rFonts w:ascii="Segoe UI" w:eastAsia="Times New Roman" w:hAnsi="Segoe UI" w:cs="Segoe UI"/>
          <w:b/>
          <w:sz w:val="21"/>
          <w:szCs w:val="21"/>
          <w:lang w:eastAsia="zh-CN"/>
        </w:rPr>
      </w:pPr>
    </w:p>
    <w:p w:rsidR="00615535" w:rsidRDefault="00615535" w:rsidP="00615535">
      <w:pPr>
        <w:pStyle w:val="ListParagraph"/>
        <w:numPr>
          <w:ilvl w:val="1"/>
          <w:numId w:val="6"/>
        </w:numPr>
        <w:ind w:left="567" w:hanging="567"/>
        <w:jc w:val="both"/>
        <w:rPr>
          <w:rFonts w:ascii="Segoe UI" w:eastAsia="Times New Roman" w:hAnsi="Segoe UI" w:cs="Segoe UI"/>
          <w:b/>
          <w:sz w:val="21"/>
          <w:szCs w:val="21"/>
          <w:lang w:eastAsia="zh-CN"/>
        </w:rPr>
      </w:pPr>
      <w:r w:rsidRPr="0051164B">
        <w:rPr>
          <w:rFonts w:ascii="Segoe UI" w:eastAsia="Times New Roman" w:hAnsi="Segoe UI" w:cs="Segoe UI"/>
          <w:b/>
          <w:sz w:val="21"/>
          <w:szCs w:val="21"/>
          <w:lang w:eastAsia="zh-CN"/>
        </w:rPr>
        <w:t>Other matters</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keep abreast of external remuneration trends and market conditions including receiving an annual presentation from its external remuneration consultants;</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subject to delegation of authority by the board, determine whether the disclosure of any information on performance conditions and performance targets w</w:t>
      </w:r>
      <w:r>
        <w:rPr>
          <w:rFonts w:ascii="Segoe UI" w:eastAsia="Times New Roman" w:hAnsi="Segoe UI" w:cs="Segoe UI"/>
          <w:sz w:val="21"/>
          <w:szCs w:val="21"/>
          <w:lang w:eastAsia="zh-CN"/>
        </w:rPr>
        <w:t>ould be commercially sensitive;</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Pr>
          <w:rFonts w:ascii="Segoe UI" w:eastAsia="Times New Roman" w:hAnsi="Segoe UI" w:cs="Segoe UI"/>
          <w:sz w:val="21"/>
          <w:szCs w:val="21"/>
          <w:lang w:eastAsia="zh-CN"/>
        </w:rPr>
        <w:lastRenderedPageBreak/>
        <w:t>agree the policy for authorising expense claims from the chair and Chief Executive Officer.</w:t>
      </w:r>
    </w:p>
    <w:p w:rsidR="00615535" w:rsidRDefault="00615535" w:rsidP="00615535">
      <w:pPr>
        <w:pStyle w:val="ListParagraph"/>
        <w:ind w:left="1276"/>
        <w:jc w:val="both"/>
        <w:rPr>
          <w:rFonts w:ascii="Segoe UI" w:eastAsia="Times New Roman" w:hAnsi="Segoe UI" w:cs="Segoe UI"/>
          <w:sz w:val="21"/>
          <w:szCs w:val="21"/>
          <w:lang w:eastAsia="zh-CN"/>
        </w:rPr>
      </w:pPr>
    </w:p>
    <w:p w:rsidR="00615535" w:rsidRDefault="00615535" w:rsidP="00615535">
      <w:pPr>
        <w:pStyle w:val="ListParagraph"/>
        <w:numPr>
          <w:ilvl w:val="0"/>
          <w:numId w:val="6"/>
        </w:numPr>
        <w:ind w:left="567" w:hanging="567"/>
        <w:jc w:val="both"/>
        <w:rPr>
          <w:rFonts w:ascii="Segoe UI" w:eastAsia="Times New Roman" w:hAnsi="Segoe UI" w:cs="Segoe UI"/>
          <w:b/>
          <w:sz w:val="21"/>
          <w:szCs w:val="21"/>
          <w:lang w:eastAsia="zh-CN"/>
        </w:rPr>
      </w:pPr>
      <w:r w:rsidRPr="0051164B">
        <w:rPr>
          <w:rFonts w:ascii="Segoe UI" w:eastAsia="Times New Roman" w:hAnsi="Segoe UI" w:cs="Segoe UI"/>
          <w:b/>
          <w:sz w:val="21"/>
          <w:szCs w:val="21"/>
          <w:lang w:eastAsia="zh-CN"/>
        </w:rPr>
        <w:t>MEMBERSHIP</w:t>
      </w:r>
    </w:p>
    <w:p w:rsidR="00615535" w:rsidRPr="00A5674E" w:rsidRDefault="00615535" w:rsidP="00615535">
      <w:pPr>
        <w:jc w:val="both"/>
        <w:rPr>
          <w:rFonts w:ascii="Segoe UI" w:eastAsia="Times New Roman" w:hAnsi="Segoe UI" w:cs="Segoe UI"/>
          <w:sz w:val="21"/>
          <w:szCs w:val="21"/>
          <w:lang w:eastAsia="zh-CN"/>
        </w:rPr>
      </w:pPr>
      <w:r w:rsidRPr="00A5674E">
        <w:rPr>
          <w:rFonts w:ascii="Segoe UI" w:eastAsia="Times New Roman" w:hAnsi="Segoe UI" w:cs="Segoe UI"/>
          <w:sz w:val="21"/>
          <w:szCs w:val="21"/>
          <w:lang w:eastAsia="zh-CN"/>
        </w:rPr>
        <w:t xml:space="preserve">The board shall appoint the Committee chair, and before such appointment, the appointee should have served on a remuneration committee for at least 12 months. </w:t>
      </w:r>
    </w:p>
    <w:p w:rsidR="00615535" w:rsidRDefault="00615535" w:rsidP="00615535">
      <w:pPr>
        <w:pStyle w:val="ListParagraph"/>
        <w:ind w:left="360"/>
        <w:jc w:val="both"/>
        <w:rPr>
          <w:rFonts w:ascii="Segoe UI" w:eastAsia="Times New Roman" w:hAnsi="Segoe UI" w:cs="Segoe UI"/>
          <w:sz w:val="21"/>
          <w:szCs w:val="21"/>
          <w:lang w:eastAsia="zh-CN"/>
        </w:rPr>
      </w:pPr>
    </w:p>
    <w:p w:rsidR="00615535" w:rsidRDefault="00615535" w:rsidP="00615535">
      <w:pPr>
        <w:pStyle w:val="ListParagraph"/>
        <w:numPr>
          <w:ilvl w:val="0"/>
          <w:numId w:val="6"/>
        </w:numPr>
        <w:ind w:left="567" w:hanging="567"/>
        <w:jc w:val="both"/>
        <w:rPr>
          <w:rFonts w:ascii="Segoe UI" w:eastAsia="Times New Roman" w:hAnsi="Segoe UI" w:cs="Segoe UI"/>
          <w:b/>
          <w:sz w:val="21"/>
          <w:szCs w:val="21"/>
          <w:lang w:eastAsia="zh-CN"/>
        </w:rPr>
      </w:pPr>
      <w:r w:rsidRPr="0051164B">
        <w:rPr>
          <w:rFonts w:ascii="Segoe UI" w:eastAsia="Times New Roman" w:hAnsi="Segoe UI" w:cs="Segoe UI"/>
          <w:b/>
          <w:sz w:val="21"/>
          <w:szCs w:val="21"/>
          <w:lang w:eastAsia="zh-CN"/>
        </w:rPr>
        <w:t>ATTENDANCE AT MEETINGS</w:t>
      </w:r>
    </w:p>
    <w:p w:rsidR="00615535" w:rsidRDefault="00615535" w:rsidP="00615535">
      <w:pPr>
        <w:pStyle w:val="ListParagraph"/>
        <w:numPr>
          <w:ilvl w:val="1"/>
          <w:numId w:val="6"/>
        </w:numPr>
        <w:ind w:left="567" w:hanging="567"/>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 xml:space="preserve">The Committee shall meet at least </w:t>
      </w:r>
      <w:r>
        <w:rPr>
          <w:rFonts w:ascii="Segoe UI" w:eastAsia="Times New Roman" w:hAnsi="Segoe UI" w:cs="Segoe UI"/>
          <w:sz w:val="21"/>
          <w:szCs w:val="21"/>
          <w:lang w:eastAsia="zh-CN"/>
        </w:rPr>
        <w:t xml:space="preserve">three </w:t>
      </w:r>
      <w:r w:rsidRPr="0051164B">
        <w:rPr>
          <w:rFonts w:ascii="Segoe UI" w:eastAsia="Times New Roman" w:hAnsi="Segoe UI" w:cs="Segoe UI"/>
          <w:sz w:val="21"/>
          <w:szCs w:val="21"/>
          <w:lang w:eastAsia="zh-CN"/>
        </w:rPr>
        <w:t xml:space="preserve">times a year and otherwise as required. </w:t>
      </w:r>
    </w:p>
    <w:p w:rsidR="00615535" w:rsidRDefault="00615535" w:rsidP="00615535">
      <w:pPr>
        <w:pStyle w:val="ListParagraph"/>
        <w:numPr>
          <w:ilvl w:val="1"/>
          <w:numId w:val="6"/>
        </w:numPr>
        <w:ind w:left="567" w:hanging="567"/>
        <w:jc w:val="both"/>
        <w:rPr>
          <w:rFonts w:ascii="Segoe UI" w:eastAsia="Times New Roman" w:hAnsi="Segoe UI" w:cs="Segoe UI"/>
          <w:sz w:val="21"/>
          <w:szCs w:val="21"/>
          <w:lang w:eastAsia="zh-CN"/>
        </w:rPr>
      </w:pPr>
      <w:r>
        <w:rPr>
          <w:rFonts w:ascii="Segoe UI" w:eastAsia="Times New Roman" w:hAnsi="Segoe UI" w:cs="Segoe UI"/>
          <w:sz w:val="21"/>
          <w:szCs w:val="21"/>
          <w:lang w:eastAsia="zh-CN"/>
        </w:rPr>
        <w:t>N</w:t>
      </w:r>
      <w:r w:rsidRPr="0051164B">
        <w:rPr>
          <w:rFonts w:ascii="Segoe UI" w:eastAsia="Times New Roman" w:hAnsi="Segoe UI" w:cs="Segoe UI"/>
          <w:sz w:val="21"/>
          <w:szCs w:val="21"/>
          <w:lang w:eastAsia="zh-CN"/>
        </w:rPr>
        <w:t>o person shall participate at a meeting of the Committee (or during a relevant part) at which any part of their remuneration is being directly discussed or participate in any recommendation or decision specifically concerning their remuneration.</w:t>
      </w:r>
    </w:p>
    <w:p w:rsidR="00615535" w:rsidRDefault="00615535" w:rsidP="00615535">
      <w:pPr>
        <w:pStyle w:val="ListParagraph"/>
        <w:ind w:left="360"/>
        <w:jc w:val="both"/>
        <w:rPr>
          <w:rFonts w:ascii="Segoe UI" w:eastAsia="Times New Roman" w:hAnsi="Segoe UI" w:cs="Segoe UI"/>
          <w:sz w:val="21"/>
          <w:szCs w:val="21"/>
          <w:lang w:eastAsia="zh-CN"/>
        </w:rPr>
      </w:pPr>
    </w:p>
    <w:p w:rsidR="00615535" w:rsidRDefault="00615535" w:rsidP="00615535">
      <w:pPr>
        <w:pStyle w:val="ListParagraph"/>
        <w:numPr>
          <w:ilvl w:val="0"/>
          <w:numId w:val="6"/>
        </w:numPr>
        <w:ind w:left="567" w:hanging="567"/>
        <w:jc w:val="both"/>
        <w:rPr>
          <w:rFonts w:ascii="Segoe UI" w:eastAsia="Times New Roman" w:hAnsi="Segoe UI" w:cs="Segoe UI"/>
          <w:b/>
          <w:sz w:val="21"/>
          <w:szCs w:val="21"/>
          <w:lang w:eastAsia="zh-CN"/>
        </w:rPr>
      </w:pPr>
      <w:r w:rsidRPr="0051164B">
        <w:rPr>
          <w:rFonts w:ascii="Segoe UI" w:eastAsia="Times New Roman" w:hAnsi="Segoe UI" w:cs="Segoe UI"/>
          <w:b/>
          <w:sz w:val="21"/>
          <w:szCs w:val="21"/>
          <w:lang w:eastAsia="zh-CN"/>
        </w:rPr>
        <w:t>REPORTING RESPONSIBILITIES</w:t>
      </w:r>
    </w:p>
    <w:p w:rsidR="00615535" w:rsidRPr="0051164B" w:rsidRDefault="00615535" w:rsidP="00615535">
      <w:pPr>
        <w:pStyle w:val="ListParagraph"/>
        <w:numPr>
          <w:ilvl w:val="1"/>
          <w:numId w:val="6"/>
        </w:numPr>
        <w:ind w:left="567" w:hanging="567"/>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The Committee shall:</w:t>
      </w:r>
      <w:r w:rsidRPr="0051164B">
        <w:rPr>
          <w:rFonts w:ascii="Segoe UI" w:eastAsia="Times New Roman" w:hAnsi="Segoe UI" w:cs="Segoe UI"/>
          <w:b/>
          <w:sz w:val="21"/>
          <w:szCs w:val="21"/>
          <w:lang w:eastAsia="zh-CN"/>
        </w:rPr>
        <w:t xml:space="preserve"> </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 xml:space="preserve">report to the board on workforce reward, incentives and conditions, and support the board's monitoring of the alignment of company policies and practices with culture and strategy; </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ensure that provisions regarding the disclosure of information, including pensions, as set out in the Large and Medium-sized Companies and Groups (Accounts and Reports) Regulations 2008 (as amended) and the Code, are fulfilled;</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Pr>
          <w:rFonts w:ascii="Segoe UI" w:eastAsia="Times New Roman" w:hAnsi="Segoe UI" w:cs="Segoe UI"/>
          <w:sz w:val="21"/>
          <w:szCs w:val="21"/>
          <w:lang w:eastAsia="zh-CN"/>
        </w:rPr>
        <w:t>where a board director resigns (or has their contract terminated) under whatever circumstances, the Committee (on the instructions of the Board) shall publish a statement setting out payments a departing board director has received or may receive in the future as soon as practicable following termination of employment;</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prepare a formal report for shareholders to be incorporated in the Company’s annual report that shall include the matters referred to in paragraph 3.7 and ensure that</w:t>
      </w:r>
      <w:r>
        <w:rPr>
          <w:rFonts w:ascii="Segoe UI" w:eastAsia="Times New Roman" w:hAnsi="Segoe UI" w:cs="Segoe UI"/>
          <w:sz w:val="21"/>
          <w:szCs w:val="21"/>
          <w:lang w:eastAsia="zh-CN"/>
        </w:rPr>
        <w:t xml:space="preserve"> it is submitted for approval</w:t>
      </w:r>
      <w:r w:rsidRPr="0051164B">
        <w:rPr>
          <w:rFonts w:ascii="Segoe UI" w:eastAsia="Times New Roman" w:hAnsi="Segoe UI" w:cs="Segoe UI"/>
          <w:sz w:val="21"/>
          <w:szCs w:val="21"/>
          <w:lang w:eastAsia="zh-CN"/>
        </w:rPr>
        <w:t>;</w:t>
      </w:r>
    </w:p>
    <w:p w:rsidR="00615535" w:rsidRDefault="00615535" w:rsidP="00615535">
      <w:pPr>
        <w:pStyle w:val="ListParagraph"/>
        <w:numPr>
          <w:ilvl w:val="2"/>
          <w:numId w:val="6"/>
        </w:numPr>
        <w:ind w:left="1276" w:hanging="709"/>
        <w:jc w:val="both"/>
        <w:rPr>
          <w:rFonts w:ascii="Segoe UI" w:eastAsia="Times New Roman" w:hAnsi="Segoe UI" w:cs="Segoe UI"/>
          <w:sz w:val="21"/>
          <w:szCs w:val="21"/>
          <w:lang w:eastAsia="zh-CN"/>
        </w:rPr>
      </w:pPr>
      <w:r w:rsidRPr="0051164B">
        <w:rPr>
          <w:rFonts w:ascii="Segoe UI" w:eastAsia="Times New Roman" w:hAnsi="Segoe UI" w:cs="Segoe UI"/>
          <w:sz w:val="21"/>
          <w:szCs w:val="21"/>
          <w:lang w:eastAsia="zh-CN"/>
        </w:rPr>
        <w:t>if the Committee has appointed remuneration consultants, identify in the annual report, the name of the consultants and state whether they have any connection with the Company or individual directors;</w:t>
      </w:r>
    </w:p>
    <w:p w:rsidR="00410145" w:rsidRDefault="00615535" w:rsidP="00615535">
      <w:pPr>
        <w:pStyle w:val="ListParagraph"/>
        <w:numPr>
          <w:ilvl w:val="2"/>
          <w:numId w:val="6"/>
        </w:numPr>
        <w:ind w:left="1276" w:hanging="709"/>
        <w:jc w:val="both"/>
      </w:pPr>
      <w:r w:rsidRPr="00615535">
        <w:rPr>
          <w:rFonts w:ascii="Segoe UI" w:eastAsia="Times New Roman" w:hAnsi="Segoe UI" w:cs="Segoe UI"/>
          <w:sz w:val="21"/>
          <w:szCs w:val="21"/>
          <w:lang w:eastAsia="zh-CN"/>
        </w:rPr>
        <w:t>prepare and adopt a report on the Committee's work and activities for inclusion in the Company's annual report.</w:t>
      </w:r>
      <w:bookmarkStart w:id="0" w:name="_GoBack"/>
      <w:bookmarkEnd w:id="0"/>
    </w:p>
    <w:sectPr w:rsidR="004101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535" w:rsidRDefault="00615535" w:rsidP="00615535">
      <w:pPr>
        <w:spacing w:after="0" w:line="240" w:lineRule="auto"/>
      </w:pPr>
      <w:r>
        <w:separator/>
      </w:r>
    </w:p>
  </w:endnote>
  <w:endnote w:type="continuationSeparator" w:id="0">
    <w:p w:rsidR="00615535" w:rsidRDefault="00615535" w:rsidP="0061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79546"/>
      <w:docPartObj>
        <w:docPartGallery w:val="Page Numbers (Bottom of Page)"/>
        <w:docPartUnique/>
      </w:docPartObj>
    </w:sdtPr>
    <w:sdtEndPr>
      <w:rPr>
        <w:noProof/>
      </w:rPr>
    </w:sdtEndPr>
    <w:sdtContent>
      <w:p w:rsidR="00D94345" w:rsidRDefault="00615535">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D94345" w:rsidRDefault="00615535">
    <w:pPr>
      <w:pStyle w:val="Footer"/>
    </w:pPr>
    <w:r>
      <w:t>Victrex Confidential - 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535" w:rsidRDefault="00615535" w:rsidP="00615535">
      <w:pPr>
        <w:spacing w:after="0" w:line="240" w:lineRule="auto"/>
      </w:pPr>
      <w:r>
        <w:separator/>
      </w:r>
    </w:p>
  </w:footnote>
  <w:footnote w:type="continuationSeparator" w:id="0">
    <w:p w:rsidR="00615535" w:rsidRDefault="00615535" w:rsidP="0061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34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C6D3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540E0"/>
    <w:multiLevelType w:val="hybridMultilevel"/>
    <w:tmpl w:val="A790CA02"/>
    <w:lvl w:ilvl="0" w:tplc="B596B4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38225C"/>
    <w:multiLevelType w:val="multilevel"/>
    <w:tmpl w:val="841E18F8"/>
    <w:lvl w:ilvl="0">
      <w:start w:val="1"/>
      <w:numFmt w:val="decimal"/>
      <w:lvlText w:val="%1."/>
      <w:lvlJc w:val="left"/>
      <w:pPr>
        <w:ind w:left="644" w:hanging="360"/>
      </w:pPr>
      <w:rPr>
        <w:rFonts w:hint="default"/>
        <w:b/>
        <w:sz w:val="22"/>
        <w:szCs w:val="22"/>
      </w:rPr>
    </w:lvl>
    <w:lvl w:ilvl="1">
      <w:start w:val="1"/>
      <w:numFmt w:val="decimal"/>
      <w:lvlText w:val="%1.%2"/>
      <w:lvlJc w:val="left"/>
      <w:pPr>
        <w:ind w:left="644" w:hanging="360"/>
      </w:p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C23597A"/>
    <w:multiLevelType w:val="hybridMultilevel"/>
    <w:tmpl w:val="E0FA7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A530F"/>
    <w:multiLevelType w:val="multilevel"/>
    <w:tmpl w:val="C03C3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515DDA"/>
    <w:multiLevelType w:val="multilevel"/>
    <w:tmpl w:val="671E8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D53BA9"/>
    <w:multiLevelType w:val="multilevel"/>
    <w:tmpl w:val="C03C3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35"/>
    <w:rsid w:val="0006563C"/>
    <w:rsid w:val="000D1F09"/>
    <w:rsid w:val="00325EB7"/>
    <w:rsid w:val="00410145"/>
    <w:rsid w:val="00615535"/>
    <w:rsid w:val="00623F40"/>
    <w:rsid w:val="0064371A"/>
    <w:rsid w:val="00645BDA"/>
    <w:rsid w:val="00F16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E2EB8-324A-414D-9EE9-ED1CB592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535"/>
    <w:pPr>
      <w:spacing w:after="200" w:line="276" w:lineRule="auto"/>
    </w:pPr>
  </w:style>
  <w:style w:type="paragraph" w:styleId="Heading1">
    <w:name w:val="heading 1"/>
    <w:basedOn w:val="Normal"/>
    <w:next w:val="Normal"/>
    <w:link w:val="Heading1Char"/>
    <w:uiPriority w:val="9"/>
    <w:qFormat/>
    <w:rsid w:val="000D1F09"/>
    <w:pPr>
      <w:keepNext/>
      <w:keepLines/>
      <w:spacing w:before="240" w:after="0"/>
      <w:outlineLvl w:val="0"/>
    </w:pPr>
    <w:rPr>
      <w:rFonts w:asciiTheme="majorHAnsi" w:eastAsiaTheme="majorEastAsia" w:hAnsiTheme="majorHAnsi" w:cstheme="majorBidi"/>
      <w:color w:val="008FD0"/>
      <w:sz w:val="32"/>
      <w:szCs w:val="32"/>
    </w:rPr>
  </w:style>
  <w:style w:type="paragraph" w:styleId="Heading2">
    <w:name w:val="heading 2"/>
    <w:basedOn w:val="Normal"/>
    <w:next w:val="Normal"/>
    <w:link w:val="Heading2Char"/>
    <w:uiPriority w:val="9"/>
    <w:unhideWhenUsed/>
    <w:qFormat/>
    <w:rsid w:val="000D1F09"/>
    <w:pPr>
      <w:keepNext/>
      <w:keepLines/>
      <w:spacing w:before="40" w:after="0"/>
      <w:outlineLvl w:val="1"/>
    </w:pPr>
    <w:rPr>
      <w:rFonts w:asciiTheme="majorHAnsi" w:eastAsiaTheme="majorEastAsia" w:hAnsiTheme="majorHAnsi" w:cstheme="majorBidi"/>
      <w:color w:val="008FD0"/>
      <w:sz w:val="26"/>
      <w:szCs w:val="26"/>
    </w:rPr>
  </w:style>
  <w:style w:type="paragraph" w:styleId="Heading3">
    <w:name w:val="heading 3"/>
    <w:basedOn w:val="Normal"/>
    <w:next w:val="Normal"/>
    <w:link w:val="Heading3Char"/>
    <w:uiPriority w:val="9"/>
    <w:unhideWhenUsed/>
    <w:qFormat/>
    <w:rsid w:val="000D1F09"/>
    <w:pPr>
      <w:keepNext/>
      <w:keepLines/>
      <w:spacing w:before="40" w:after="0"/>
      <w:outlineLvl w:val="2"/>
    </w:pPr>
    <w:rPr>
      <w:rFonts w:asciiTheme="majorHAnsi" w:eastAsiaTheme="majorEastAsia" w:hAnsiTheme="majorHAnsi" w:cstheme="majorBidi"/>
      <w:color w:val="008FD0"/>
      <w:sz w:val="24"/>
      <w:szCs w:val="24"/>
    </w:rPr>
  </w:style>
  <w:style w:type="paragraph" w:styleId="Heading4">
    <w:name w:val="heading 4"/>
    <w:basedOn w:val="Normal"/>
    <w:next w:val="Normal"/>
    <w:link w:val="Heading4Char"/>
    <w:uiPriority w:val="9"/>
    <w:unhideWhenUsed/>
    <w:qFormat/>
    <w:rsid w:val="000D1F09"/>
    <w:pPr>
      <w:keepNext/>
      <w:keepLines/>
      <w:spacing w:before="40" w:after="0"/>
      <w:outlineLvl w:val="3"/>
    </w:pPr>
    <w:rPr>
      <w:rFonts w:asciiTheme="majorHAnsi" w:eastAsiaTheme="majorEastAsia" w:hAnsiTheme="majorHAnsi" w:cstheme="majorBidi"/>
      <w:i/>
      <w:iCs/>
      <w:color w:val="008F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09"/>
    <w:rPr>
      <w:rFonts w:asciiTheme="majorHAnsi" w:eastAsiaTheme="majorEastAsia" w:hAnsiTheme="majorHAnsi" w:cstheme="majorBidi"/>
      <w:color w:val="008FD0"/>
      <w:sz w:val="32"/>
      <w:szCs w:val="32"/>
    </w:rPr>
  </w:style>
  <w:style w:type="character" w:customStyle="1" w:styleId="Heading2Char">
    <w:name w:val="Heading 2 Char"/>
    <w:basedOn w:val="DefaultParagraphFont"/>
    <w:link w:val="Heading2"/>
    <w:uiPriority w:val="9"/>
    <w:rsid w:val="000D1F09"/>
    <w:rPr>
      <w:rFonts w:asciiTheme="majorHAnsi" w:eastAsiaTheme="majorEastAsia" w:hAnsiTheme="majorHAnsi" w:cstheme="majorBidi"/>
      <w:color w:val="008FD0"/>
      <w:sz w:val="26"/>
      <w:szCs w:val="26"/>
    </w:rPr>
  </w:style>
  <w:style w:type="character" w:customStyle="1" w:styleId="Heading3Char">
    <w:name w:val="Heading 3 Char"/>
    <w:basedOn w:val="DefaultParagraphFont"/>
    <w:link w:val="Heading3"/>
    <w:uiPriority w:val="9"/>
    <w:rsid w:val="000D1F09"/>
    <w:rPr>
      <w:rFonts w:asciiTheme="majorHAnsi" w:eastAsiaTheme="majorEastAsia" w:hAnsiTheme="majorHAnsi" w:cstheme="majorBidi"/>
      <w:color w:val="008FD0"/>
      <w:sz w:val="24"/>
      <w:szCs w:val="24"/>
    </w:rPr>
  </w:style>
  <w:style w:type="character" w:customStyle="1" w:styleId="Heading4Char">
    <w:name w:val="Heading 4 Char"/>
    <w:basedOn w:val="DefaultParagraphFont"/>
    <w:link w:val="Heading4"/>
    <w:uiPriority w:val="9"/>
    <w:rsid w:val="000D1F09"/>
    <w:rPr>
      <w:rFonts w:asciiTheme="majorHAnsi" w:eastAsiaTheme="majorEastAsia" w:hAnsiTheme="majorHAnsi" w:cstheme="majorBidi"/>
      <w:i/>
      <w:iCs/>
      <w:color w:val="008FD0"/>
      <w:sz w:val="21"/>
    </w:rPr>
  </w:style>
  <w:style w:type="character" w:styleId="IntenseEmphasis">
    <w:name w:val="Intense Emphasis"/>
    <w:basedOn w:val="DefaultParagraphFont"/>
    <w:uiPriority w:val="21"/>
    <w:qFormat/>
    <w:rsid w:val="000D1F09"/>
    <w:rPr>
      <w:i/>
      <w:iCs/>
      <w:color w:val="008FD0"/>
    </w:rPr>
  </w:style>
  <w:style w:type="paragraph" w:styleId="IntenseQuote">
    <w:name w:val="Intense Quote"/>
    <w:basedOn w:val="Normal"/>
    <w:next w:val="Normal"/>
    <w:link w:val="IntenseQuoteChar"/>
    <w:uiPriority w:val="30"/>
    <w:qFormat/>
    <w:rsid w:val="000D1F09"/>
    <w:pPr>
      <w:pBdr>
        <w:top w:val="single" w:sz="4" w:space="10" w:color="65C5E4" w:themeColor="accent1"/>
        <w:bottom w:val="single" w:sz="4" w:space="10" w:color="65C5E4" w:themeColor="accent1"/>
      </w:pBdr>
      <w:spacing w:before="360" w:after="360"/>
      <w:ind w:left="864" w:right="864"/>
      <w:jc w:val="center"/>
    </w:pPr>
    <w:rPr>
      <w:i/>
      <w:iCs/>
      <w:color w:val="008FD0"/>
    </w:rPr>
  </w:style>
  <w:style w:type="character" w:customStyle="1" w:styleId="IntenseQuoteChar">
    <w:name w:val="Intense Quote Char"/>
    <w:basedOn w:val="DefaultParagraphFont"/>
    <w:link w:val="IntenseQuote"/>
    <w:uiPriority w:val="30"/>
    <w:rsid w:val="000D1F09"/>
    <w:rPr>
      <w:i/>
      <w:iCs/>
      <w:color w:val="008FD0"/>
      <w:sz w:val="21"/>
    </w:rPr>
  </w:style>
  <w:style w:type="character" w:styleId="IntenseReference">
    <w:name w:val="Intense Reference"/>
    <w:basedOn w:val="DefaultParagraphFont"/>
    <w:uiPriority w:val="32"/>
    <w:qFormat/>
    <w:rsid w:val="000D1F09"/>
    <w:rPr>
      <w:b/>
      <w:bCs/>
      <w:smallCaps/>
      <w:color w:val="008FD0"/>
      <w:spacing w:val="5"/>
    </w:rPr>
  </w:style>
  <w:style w:type="paragraph" w:styleId="Subtitle">
    <w:name w:val="Subtitle"/>
    <w:basedOn w:val="Normal"/>
    <w:next w:val="Normal"/>
    <w:link w:val="SubtitleChar"/>
    <w:uiPriority w:val="11"/>
    <w:qFormat/>
    <w:rsid w:val="000D1F09"/>
    <w:pPr>
      <w:numPr>
        <w:ilvl w:val="1"/>
      </w:numPr>
    </w:pPr>
    <w:rPr>
      <w:color w:val="6D6E71"/>
      <w:spacing w:val="15"/>
    </w:rPr>
  </w:style>
  <w:style w:type="character" w:customStyle="1" w:styleId="SubtitleChar">
    <w:name w:val="Subtitle Char"/>
    <w:basedOn w:val="DefaultParagraphFont"/>
    <w:link w:val="Subtitle"/>
    <w:uiPriority w:val="11"/>
    <w:rsid w:val="000D1F09"/>
    <w:rPr>
      <w:rFonts w:eastAsiaTheme="minorEastAsia"/>
      <w:color w:val="6D6E71"/>
      <w:spacing w:val="15"/>
    </w:rPr>
  </w:style>
  <w:style w:type="character" w:styleId="SubtleEmphasis">
    <w:name w:val="Subtle Emphasis"/>
    <w:basedOn w:val="DefaultParagraphFont"/>
    <w:uiPriority w:val="19"/>
    <w:qFormat/>
    <w:rsid w:val="000D1F09"/>
    <w:rPr>
      <w:i/>
      <w:iCs/>
      <w:color w:val="6D6E71"/>
    </w:rPr>
  </w:style>
  <w:style w:type="paragraph" w:styleId="Quote">
    <w:name w:val="Quote"/>
    <w:basedOn w:val="Normal"/>
    <w:next w:val="Normal"/>
    <w:link w:val="QuoteChar"/>
    <w:uiPriority w:val="29"/>
    <w:qFormat/>
    <w:rsid w:val="000D1F09"/>
    <w:pPr>
      <w:spacing w:before="200"/>
      <w:ind w:left="864" w:right="864"/>
      <w:jc w:val="center"/>
    </w:pPr>
    <w:rPr>
      <w:i/>
      <w:iCs/>
      <w:color w:val="6D6E71"/>
    </w:rPr>
  </w:style>
  <w:style w:type="character" w:customStyle="1" w:styleId="QuoteChar">
    <w:name w:val="Quote Char"/>
    <w:basedOn w:val="DefaultParagraphFont"/>
    <w:link w:val="Quote"/>
    <w:uiPriority w:val="29"/>
    <w:rsid w:val="000D1F09"/>
    <w:rPr>
      <w:i/>
      <w:iCs/>
      <w:color w:val="6D6E71"/>
      <w:sz w:val="21"/>
    </w:rPr>
  </w:style>
  <w:style w:type="character" w:styleId="SubtleReference">
    <w:name w:val="Subtle Reference"/>
    <w:basedOn w:val="DefaultParagraphFont"/>
    <w:uiPriority w:val="31"/>
    <w:qFormat/>
    <w:rsid w:val="000D1F09"/>
    <w:rPr>
      <w:smallCaps/>
      <w:color w:val="6D6E71"/>
    </w:rPr>
  </w:style>
  <w:style w:type="character" w:styleId="Hyperlink">
    <w:name w:val="Hyperlink"/>
    <w:basedOn w:val="DefaultParagraphFont"/>
    <w:uiPriority w:val="99"/>
    <w:unhideWhenUsed/>
    <w:rsid w:val="00410145"/>
    <w:rPr>
      <w:color w:val="0070C0" w:themeColor="hyperlink"/>
      <w:u w:val="single"/>
    </w:rPr>
  </w:style>
  <w:style w:type="paragraph" w:styleId="ListParagraph">
    <w:name w:val="List Paragraph"/>
    <w:basedOn w:val="Normal"/>
    <w:uiPriority w:val="99"/>
    <w:qFormat/>
    <w:rsid w:val="00615535"/>
    <w:pPr>
      <w:ind w:left="720"/>
      <w:contextualSpacing/>
    </w:pPr>
  </w:style>
  <w:style w:type="paragraph" w:styleId="Header">
    <w:name w:val="header"/>
    <w:basedOn w:val="Normal"/>
    <w:link w:val="HeaderChar"/>
    <w:uiPriority w:val="99"/>
    <w:unhideWhenUsed/>
    <w:rsid w:val="00615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535"/>
  </w:style>
  <w:style w:type="paragraph" w:styleId="Footer">
    <w:name w:val="footer"/>
    <w:basedOn w:val="Normal"/>
    <w:link w:val="FooterChar"/>
    <w:uiPriority w:val="99"/>
    <w:unhideWhenUsed/>
    <w:rsid w:val="00615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535"/>
  </w:style>
  <w:style w:type="paragraph" w:styleId="Caption">
    <w:name w:val="caption"/>
    <w:basedOn w:val="Normal"/>
    <w:next w:val="Normal"/>
    <w:uiPriority w:val="59"/>
    <w:semiHidden/>
    <w:unhideWhenUsed/>
    <w:qFormat/>
    <w:rsid w:val="00615535"/>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b/>
      <w:kern w:val="16"/>
      <w:sz w:val="20"/>
    </w:rPr>
  </w:style>
  <w:style w:type="paragraph" w:styleId="BalloonText">
    <w:name w:val="Balloon Text"/>
    <w:basedOn w:val="Normal"/>
    <w:link w:val="BalloonTextChar"/>
    <w:uiPriority w:val="99"/>
    <w:semiHidden/>
    <w:unhideWhenUsed/>
    <w:rsid w:val="0061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orporate">
  <a:themeElements>
    <a:clrScheme name="_Victrex">
      <a:dk1>
        <a:sysClr val="windowText" lastClr="000000"/>
      </a:dk1>
      <a:lt1>
        <a:sysClr val="window" lastClr="FFFFFF"/>
      </a:lt1>
      <a:dk2>
        <a:srgbClr val="008FD0"/>
      </a:dk2>
      <a:lt2>
        <a:srgbClr val="6D6E71"/>
      </a:lt2>
      <a:accent1>
        <a:srgbClr val="65C5E4"/>
      </a:accent1>
      <a:accent2>
        <a:srgbClr val="6D6E71"/>
      </a:accent2>
      <a:accent3>
        <a:srgbClr val="DEDD21"/>
      </a:accent3>
      <a:accent4>
        <a:srgbClr val="65C5E4"/>
      </a:accent4>
      <a:accent5>
        <a:srgbClr val="006B8D"/>
      </a:accent5>
      <a:accent6>
        <a:srgbClr val="702082"/>
      </a:accent6>
      <a:hlink>
        <a:srgbClr val="0070C0"/>
      </a:hlink>
      <a:folHlink>
        <a:srgbClr val="B52555"/>
      </a:folHlink>
    </a:clrScheme>
    <a:fontScheme name="Segoe UI + メイリオ">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kumimoji="1" dirty="0"/>
        </a:defPPr>
      </a:lstStyle>
      <a:style>
        <a:lnRef idx="1">
          <a:schemeClr val="accent1"/>
        </a:lnRef>
        <a:fillRef idx="3">
          <a:schemeClr val="accent1"/>
        </a:fillRef>
        <a:effectRef idx="2">
          <a:schemeClr val="accent1"/>
        </a:effectRef>
        <a:fontRef idx="minor">
          <a:schemeClr val="lt1"/>
        </a:fontRef>
      </a:style>
    </a:spDef>
    <a:lnDef>
      <a:spPr>
        <a:ln>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kumimoji="1" dirty="0"/>
        </a:defPPr>
      </a:lstStyle>
    </a:txDef>
  </a:objectDefaults>
  <a:extraClrSchemeLst/>
  <a:extLst>
    <a:ext uri="{05A4C25C-085E-4340-85A3-A5531E510DB2}">
      <thm15:themeFamily xmlns:thm15="http://schemas.microsoft.com/office/thememl/2012/main" name="Corporate" id="{83EF98BC-A888-42AF-A7EE-EDA281E9D870}" vid="{C73F245C-F2EE-466F-B10E-7F2FE1D55218}"/>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12028</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Moore</dc:creator>
  <cp:keywords/>
  <dc:description/>
  <cp:lastModifiedBy>Sonya Moore</cp:lastModifiedBy>
  <cp:revision>1</cp:revision>
  <dcterms:created xsi:type="dcterms:W3CDTF">2020-01-06T13:09:00Z</dcterms:created>
  <dcterms:modified xsi:type="dcterms:W3CDTF">2020-01-06T13:11:00Z</dcterms:modified>
</cp:coreProperties>
</file>